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5760-2005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5760-2005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la Sala de lo Penal del Tribunal Supremo de 2 de junio de 2005, dictada en el recurso de casación núm. 347-2003, exclusivamente en lo referente a la pena de un año de prisión menor impuesta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julio de 2005, el Procurador de los Tribunales don Antonio Francisco García Díaz, en nombre y representación de don José Jané Solá, y bajo la dirección del Letrado don Oscar Alzaga Villaamil, interpuso recurso de amparo contra la Sentencia de la Sala de lo Penal del Tribunal Supremo de 2 de junio de 2005, dictada en el recurso de casación núm. 347-2003, por la que se estima parcialmente el recurso interpuesto contra la Sentencia de la Sección Segunda de la Audiencia Provincial de Barcelona de 25 de julio de 2002, dictada en el rollo núm. 56-1999. </w:t>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 resolución impugnada, en la que se condena al recurrente como cooperador necesario de un delito continuado contra la Hacienda pública a las penas de un año de prisión menor, multa de 2.697.658,73 €, con responsabilidad personal subsidiaria de ciento cuarenta días en caso de impago, y pérdida de la posibilidad de obtener subvenciones o ayudas públicas y del derecho a gozar de beneficios o incentivos fiscales o de la Seguridad Social durante un periodo de tres años, así como al abono de responsabilidades civiles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10 de julio de 2008,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22 de julio de 2008, presentó alegaciones en las que, conforme a la reiterada jurisprudencia de este Tribunal, interesó la suspensión de la resolución impugnada exclusivamente en lo referido a la pena de un año de prisión menor y su denegación respecto del resto de pronunciamientos, por no acreditarse la irreparabilidad de los eventuales perjuicios, atendiendo a su naturaleza patrimonial —multa, pérdida de la posibilidad de obtener subvenciones, responsabilidad civil y costas—, y por tratarse de una eventualidad futura -responsabilidad personal subsidiaria al impago de la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21 de julio de 2008, presentó alegaciones solicitando la suspensión exclusivamente en lo referido a la pena privativa de libertad de un año, renunciando expresamente a que, por el momento, se hiciera pronunciamiento alguno respecto del resto de la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anterior a la establecida por la Ley Orgánica 6/2007, de 24 de mayo— dispone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De ello deriva, como regla general, que la admisión del amparo no comporta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ATC 7/2008, de 14 de enero, FJ 1).</w:t>
      </w:r>
    </w:p>
    <w:p w:rsidRPr="00C21FFE" w:rsidR="00AD51A7" w:rsidRDefault="00AD51A7">
      <w:pPr>
        <w:rPr/>
      </w:pPr>
      <w:r w:rsidRPr="&lt;w:rPr xmlns:w=&quot;http://schemas.openxmlformats.org/wordprocessingml/2006/main&quot;&gt;&lt;w:lang w:val=&quot;es-ES_tradnl&quot; /&gt;&lt;/w:rPr&gt;">
        <w:rPr/>
        <w:t xml:space="preserve">Más en concreto, y por lo que se refiere a penas de privación de libertad, se ha reiterado que procederá, en principio, acordar su suspensión al afectar a un bien de imposible o muy difícil restitución a su estado anterior, si bien se ha destacado que este criterio general tampoco es absoluto, ya que en estos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(por todos ATC 7/2008, de 14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esta resolución debe quedar limitado a la suspensión de la pena de prisión de un año, al haber renunciado expresamente el recurrente en el trámite de alegaciones a solicitar la suspensión respecto del resto de pronunciamientos condenatorios de la resolución impugnada. En relación con dicha pena, habida cuenta de que su extensión es de un año, no suspender su ejecución ocasionaría al recurrente un perjuicio irreparable que haría perder al amparo su finalidad ante un eventual fallo estimatorio de la demanda, por cuanto la pena de prisión podría haber sido cumplida en gran medida o en su totalidad. Por otro lado, atendidas todas las circunstancias concurrentes en el caso, no se aprecia que acceder a la suspensión solicitada ocasione una lesión específica y grave de los intereses generales —más allá de aquélla que de por sí produce la no ejecución de un fallo judicial—, ni de derechos fundamentales o libertades públicas de terceros, mientras que el supuesto contrario sí irrogaría al demandante perjuicios de muy difícil o imposible reparación por lo que ha de acordarse la suspensión de la pena privativa de libertad impuesta en las resoluciones recurridas.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la Sala de lo Penal del Tribunal Supremo de 2 de junio de 2005, dictada en el recurso de casación núm. 347-2003, exclusivamente en lo referente a la pena de un año de prisión menor impuesta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