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5928-2009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5928-2009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Audiencia Provincial de Sevilla (Sección Primera) de 7 de mayo de 2008, recaída en procedimiento abreviado núm. 254-2007, confirmada por la Sentencia de la Sala Segunda del Tribunal Supremo de 18 de febrero de</w:t>
            </w:r>
          </w:p>
          <w:p w:rsidRPr="00D13423" w:rsidR="00AD51A7" w:rsidRDefault="00AD51A7">
            <w:pPr>
              <w:rPr/>
            </w:pPr>
            <w:r w:rsidRPr="&lt;w:rPr xmlns:w=&quot;http://schemas.openxmlformats.org/wordprocessingml/2006/main&quot;&gt;&lt;w:color w:val=&quot;800080&quot; /&gt;&lt;w:szCs w:val=&quot;24&quot; /&gt;&lt;/w:rPr&gt;">
              <w:rPr/>
              <w:t xml:space="preserve">2009, en lo que se refiere a la pena de cuatro años de prisión y a la de inhabilitación especial para el derecho de sufragio pasivo durante el tiempo de la condena impuestas al demandante por el delito de corrupción de menores por el que ha sido</w:t>
            </w:r>
          </w:p>
          <w:p w:rsidRPr="00D13423" w:rsidR="00AD51A7" w:rsidRDefault="00AD51A7">
            <w:pPr>
              <w:rPr/>
            </w:pPr>
            <w:r w:rsidRPr="&lt;w:rPr xmlns:w=&quot;http://schemas.openxmlformats.org/wordprocessingml/2006/main&quot;&gt;&lt;w:color w:val=&quot;800080&quot; /&gt;&lt;w:szCs w:val=&quot;24&quot; /&gt;&lt;/w:rPr&gt;">
              <w:rPr/>
              <w:t xml:space="preserve">condenado.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24 de junio de 2009, el Procurador de los Tribunales don Joaquín Pérez de Rada González de Castejón, en nombre y representación de don Carlos Trabajo Rueda, interpuso recurso de amparo contra la Sentencia de la Sala Segunda del Tribunal Supremo de 18 de febrero de 2009 que confirmó la condena a cuatro años de prisión y accesoria de inhabilitación especial para el derecho de sufragio pasivo durante el tiempo de la condena, impuesta por la Sentencia de la Audiencia Provincial de Sevilla (Sección Primera) de 7 de mayo de 2008, recaída en procedimiento abreviado núm. 254-2007, por delito de corrupción de menores. </w:t>
      </w:r>
    </w:p>
    <w:p w:rsidRPr="00C21FFE" w:rsidR="00AD51A7" w:rsidRDefault="00AD51A7">
      <w:pPr>
        <w:rPr/>
      </w:pPr>
      <w:r w:rsidRPr="&lt;w:rPr xmlns:w=&quot;http://schemas.openxmlformats.org/wordprocessingml/2006/main&quot;&gt;&lt;w:lang w:val=&quot;es-ES_tradnl&quot; /&gt;&lt;/w:rPr&gt;">
        <w:rPr/>
        <w:t xml:space="preserve">En otrosí, el recurrente solicitaba, al amparo de lo dispuesto en el art. 56 LOTC, la suspensión de la ejecución de la Sentencia objeto de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22 de julio de 2010,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Por providencia de igual fecha, se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conferido mediante escrito presentado en el Registro General de este Tribunal el 28 de julio de 2010, considerando atendible la solicitud de suspensión de la ejecución de la pena privativa de libertad, en aplicación de la doctrina del Tribunal según la que resulta procedente suspender las condenas a penas privativas de libertad inferiores a cinco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mediante escrito registrado en este Tribunal el 30 de julio de 2010, reiteró su petición de suspensión invocando la doctrina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inicial del art. 56 LOTC y confirmada en relación con la vigente en la actualidad, que cuando la suspensión se solicita en relación con la ejecución de resoluciones judiciales firmes y definitivas, lo más ajustado al interés general es no acceder a la misma, pues la suspensión se configura como una medida provisional de carácter excepcional y de aplicación restrictiva, dado el interés general en la efectividad de las decisiones de los poderes públicos, y, en particular, en la ejecución de las resoluciones judiciales. 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172/2008, de 23 de junio, FJ 1; y 50/2010, de 20 de abril, FJ 1).</w:t>
      </w:r>
    </w:p>
    <w:p w:rsidRPr="00C21FFE" w:rsidR="00AD51A7" w:rsidRDefault="00AD51A7">
      <w:pPr>
        <w:rPr/>
      </w:pPr>
      <w:r w:rsidRPr="&lt;w:rPr xmlns:w=&quot;http://schemas.openxmlformats.org/wordprocessingml/2006/main&quot;&gt;&lt;w:lang w:val=&quot;es-ES_tradnl&quot; /&gt;&lt;/w:rPr&gt;">
        <w:rPr/>
        <w:t xml:space="preserve">Tal como recordábamos en el ATC 286/2008, de 22 de septiembre, “cuando de la suspensión de la ejecución de condenas penales se trata, la evaluación de la gravedad de la perturbación que para el interés general tiene la suspensión de la ejecución de una pena constituye un juicio complejo dependiente de diversos factores,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viene aplicando como directriz inicial la de que la pena se sitúe por encima o por debajo de la frontera de los cinco años de prisión (ATC 16/2009, de 26 de enero), que es la que le sirve al legislador penal para diferenciar entre las penas graves y las menos graves (art. 33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citada doctrina al presente caso, y de acuerdo con las tesis del Ministerio Fiscal, procede estimar la pretensión de suspensión de la Sentencia impugnada en cuanto al cumplimiento de la pena privativa de libertad de cuatro años impuesta al recurrente. De un lado, porque su ejecución puede ocasionarle un perjuicio irreparable que haría perder al amparo su finalidad, por afectar al valor fundamental de la libertad.  Y, de otro, porque al acceder a la suspensión pretendida no se está ocasionando ninguna perturbación grave de los intereses generales ni se está afectando a derechos fundamentales o libertades públicas de terceros. La suspensión de la pena privativa de libertad conlleva la de la pena accesoria de suspensión del derecho de sufragio durante el tiempo de la condena, por seguir dicha pena la suerte de la principal a la que acompaña y no apreciarse que la suspensión de su ejecución pueda afectar a los derechos de terceros (por todos, ATC 159/2004, de 5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Audiencia Provincial de Sevilla (Sección Primera) de 7 de mayo de 2008, recaída en procedimiento abreviado núm. 254-2007, confirmada por la Sentencia de la Sala Segunda del Tribunal Supremo de 18 de febrero de</w:t>
      </w:r>
    </w:p>
    <w:p w:rsidRPr="" w:rsidR="00AD51A7" w:rsidRDefault="00AD51A7">
      <w:pPr>
        <w:rPr/>
      </w:pPr>
      <w:r w:rsidRPr="&lt;w:rPr xmlns:w=&quot;http://schemas.openxmlformats.org/wordprocessingml/2006/main&quot;&gt;&lt;w:szCs w:val=&quot;24&quot; /&gt;&lt;/w:rPr&gt;">
        <w:rPr/>
        <w:t xml:space="preserve">2009, en lo que se refiere a la pena de cuatro años de prisión y a la de inhabilitación especial para el derecho de sufragio pasivo durante el tiempo de la condena impuestas al demandante por el delito de corrupción de menores por el que ha sido</w:t>
      </w:r>
    </w:p>
    <w:p w:rsidRPr="" w:rsidR="00AD51A7" w:rsidRDefault="00AD51A7">
      <w:pPr>
        <w:rPr/>
      </w:pPr>
      <w:r w:rsidRPr="&lt;w:rPr xmlns:w=&quot;http://schemas.openxmlformats.org/wordprocessingml/2006/main&quot;&gt;&lt;w:szCs w:val=&quot;24&quot; /&gt;&lt;/w:rPr&gt;">
        <w:rPr/>
        <w:t xml:space="preserve">condenado.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