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5874-2011, planteado por el partido político Unificación Comunista de España contra la resolución de 24 de octubre de 2011 de la Junta Electoral Provincial de Cantabria, confirmada por la Sentencia de 28 de octubre de 2011 del Juzgado de lo Contencioso-Administrativo núm. 1 de Santander. Ha formulado alegaciones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octubre de 2011 tuvo entrada en el Registro General de este Tribunal recurso de amparo electoral planteado por el partido político Unificación Comunista de España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político Unificación Comunista de España presentó su candidatura para concurrir a las elecciones generales ante la Junta Electoral Provincial de Cantabria. La junta electoral, al comprobar que el número de firmas válidas aportadas no superaban las legalmente requeridas, otorgó al representante de esta candidatura un plazo de cuarenta y ocho horas para que subsanara los defectos en los que había incurrido. En este acuerdo la Junta Electoral Provincial de Cantabria señaló que, de conformidad con la resolución del Presidente de la Junta Electoral Central de 20 de octubre, “pueden ser objeto de subsanación los errores o inexactitudes de los avales presentados, no siendo subsanable ni la insuficiencia ni la ausencia de avales”, indicando, además, que “no es posible en el trámite de subsanación de candidaturas presentar nuevos avales no aportados con anterioridad al momento de presentar la candidatura”. Dentro del plazo otorgado el representante de la candidatura presento nuevos avales. La Junta Electoral Provincial de Cantabria, el 24 de octubre de 2011, acordó no proclamar la candidatura del partido Unificación Comunista de España al no tener por subsanado el defecto de la insuficiencia de firmas mediante la presentación de nuevos avales.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esta resolución se interpuso recurso contencioso-administrativo. Este recurso fue desestimado por Sentencia de 28 de octubre de 2011 del Juzgado de lo Contencioso-Administrativo núm. 1 de Santander. En esta Sentencia, tras hacer una referencia al objeto y características del proceso contencioso-electoral, se afirma que, aunque los términos de la instrucción dictada por la Junta Electoral Central 7-2011, de 15 de septiembre de 2011, en cuanto a lo que debe entenderse por subsanación, son ambiguos, este trámite sólo puede tener por objeto permitir a la parte “la corrección de deficiencias o errores en que pudiera haber incurrido en el cumplimiento del trámite”, pero tales deficiencias se entienden formales y no de fondo, es decir, se pretende permitir la corrección de errores de forma o la omisión de documentos de acreditación de requisitos exigidos, pero no la omisión en el cumplimiento de trámites preclusivos o la aportación de documentos relativos al fondo. En el caso analizado, afirma la Sentencia impugnada, en el trámite concedido al recurrente a la vista de las deficiencias en los avales, se pretendía darle la oportunidad de subsanar esos déficits en los propios avales presentados siempre que ello fuera posible, pero no se trataba de un trámite para subsanar la falta de aportación del número de avales con otros nuevos y distintos; otra interpretación, según se sostiene en la Sentencia impugnada, dejaría vacío de contenido el plazo para presentar las candidaturas, plazo que, a tenor de lo previsto, en el art. 119 de la Ley Orgánica del régimen electoral general (LOREG) es improrrogable.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llevan al Juzgado de lo Contencioso-Administrativo núm. 1 de Santander a desestimar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Unificación Comunista de España alega en la demanda de amparo la lesión del principio de igualdad (art. 14 CE), la vulneración de su derecho a la tutela judicial efectiva (art. 24 CE), y de su derecho a la participación en los asuntos públicos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recurrente considera que la Junta Electoral Central, al adoptar en la resolución de 20 de octubre de 2011 un criterio contrario al sostenido en la instrucción 7-2011, de 15 de septiembre, ha vulnerado el art. 14 CE. Según sostiene el recurrente, la instrucción 7-2011 permitía subsanar la insuficiencia de avales y la resolución de 20 de octubre, considera, por el contrario, que la insuficiencia de firmas no puede subsanarse mediante nuevos avales. Se aduce en la demanda de amparo que esta diferencia de criterio ha dado lugar a que las juntas electorales provinciales hayan dispensado un trato distinto entre los días 15 de septiembre al 20 de octubre, pues durante este tiempo han considerado que la insuficiencia de avales era un defecto subsanable en virtud de lo dispuesto en la instrucción 7-2011 de la Junta Electoral Central, y con posterioridad a esta fecha, al adoptar el criterio establecido en la resolución del 20 de octubre del Presidente de la Junta Electoral Central, que considera que la insuficiencia de avales no puede ser subsanada mediante nuevos avales, siguieron el criterio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alega la vulneración del principio de igualdad en la aplicación judicial del Derecho, ya que esta misma formación política, en supuestos similares, ha obtenido resoluciones judiciales contradictorias.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 aduce, además, la vulneración del art. 23 y 24 CE. Entiende el partido recurrente, que al no permitirse la subsanación de la insuficiencia de avales se ha efectuado una interpretación restrictiva del art. 47.2 LOREG que lesiona el derecho fundamental que garantiza el derecho fundamental que consagra el art. 23 CE. Interpretación que, se considera también contraria al art. 24 CE; vulneración que se fundamenta en “la contradicción de la norma resuelta por la Junta Central”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hecho noveno de la demanda de amparo se sostiene que la modificación del art. 169.3 LOREG realizada por la Ley Orgánica 2/2011 es de dudosa constitucionalidad “al restringir el derecho a la participación electoral de determinadas formaciones políticas, cuestión que deberá resolver este Tribunal en este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Primera de 31 de octubre de 2011, de conformidad con lo dispuesto en los arts. 11.2 y 50.1 de la Ley Orgánica del Tribunal Constitucional (LOTC) se acordó admitir a trámite el presente recurso de amparo, recabar del Juzgado de lo Contencioso-Administrativo núm. 1 de Santander las actuaciones correspondientes, que fueron remitidas a este Tribunal, y dar vista al Ministerio Fiscal para que en el plazo de un día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31 de octubre de 2011. Entiende el Fiscal que, de acuerdo con la doctrina constitucional sobre la subsanación de las irregularidades en la presentación de las candidaturas, ha de seguirse, dentro del marco legalmente establecido, el criterio antiformalista que favorezca la subsanación de aquellos defectos que permitan un mejor y más eficaz ejercicio del derecho y, en este caso, la interpretación más favorable al derecho fundamental que consagra el art. 23.2 CE es aquella que permite subsanar la insuficiencia de avales mediante la aportación de nuevas firmas.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queja por la que se aduce la vulneración del principio de igualdad considera el Ministerio Fiscal que esta queja debe reconducirse a la vulneración del derecho reconocido en el art. 23.2 CE, pues, a su juicio, “es esencial al mismo la igualdad que proclama para el acceso a los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llevan al Fiscal a entender que la Administración electoral, al no permitir subsanar la insuficiencia de avales, ha lesionado el derecho que consagra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pretendida inconstitucionalidad del art. 169.3 LOREG, sostiene, en cambio, que en atención a los motivos y finalidad que tiene la exigencia legal que obliga a los partidos políticos que carecen de representación parlamentaria a obtener un determinado número de firmas que avalen las candidaturas que quieran presentar (garantizar que el partido tiene un mínimo de representatividad social o apoyo de una parte del electorado y evitar prácticas que perjudiquen la seriedad del sistema electoral) ha de considerarse acorde con el derecho del art. 23 CE.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resolución de 24 de octubre de 2011 de la Junta Electoral Provincial de Cantabria por la que se acordó no proclamar la candidatura del partido Unificación Comunista de España (UCE) y la Sentencia de 28 de octubre de 2011 del Juzgado de lo Contencioso-Administrativo núm. 1 de Santander que confirmó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el partido recurrente que las resoluciones impugnadas vulneran los arts. 14, 23 y 24 CE. La vulneración del art. 14 CE se la imputa, en primer lugar, a la resolución del Presidente de la Junta Electoral Central de 20 de octubre de 2011, pues considera que esta resolución resuelve la cuestión relativa a la posibilidad de subsanar la insuficiencia de avales de modo contrario a como lo había resuelto la instrucción de la propia Junta Electoral Central 7/2011, de 15 de septiembre. Junto a ello aduce también la vulneración del principio de igualdad en la aplicación judicial del Derecho, pues considera que, al haber recibido por parte de los órganos judiciales respuestas distintas en asuntos similares se ha vulnerado este derecho fundamental. Por otra parte alega que, al no permitírsele subsanar el defecto de la insuficiencia de avales, se ha vulnerado su derecho de acceder a los cargos públicos en condiciones de igualdad (art. 23.2 CE). Por último, en la demanda de amparo se sostiene que el art. 169.3 de la Ley Orgánica del régimen electoral general (LOREG) es “de dudosa constitucionalidad al restringir el derecho a la participación electoral de determinadas formaciones políticas”, cuestión esta que también considera que debe ser resuelta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entender que, al no haberse permitido a la formación política recurrente la subsanación de la insuficiencia de avales, se ha vulnerado el derecho que consagra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señalarse en primer lugar que, aunque el recurrente parece impugnar a través de este recurso de amparo electoral, no sólo la resolución de la Junta Electoral Provincial de Cantabria de 24 de octubre pasado y la Sentencia que la confirma, sino también la resolución del Presidente de la Junta Electoral Central de 20 de octubre de 2011, el objeto de este amparo no puede comprender esta última resolución, ya que su impugnación no puede efectuarse a través del recurso de amparo electoral. Como señalamos en la STC 112/2007, de 10 de mayo, FJ 2, “[l]a ‘modalidad específica de recurso de amparo’ (SSTC 71/1986, de 31 de mayo, y 1/1988, de 13 de enero) que articuló la Ley Orgánica de régimen electoral general, se prevé, de modo expreso, como cauce de amparo frente a las resoluciones de las que conoció o que dictaron los Juzgados de lo Contencioso-Administrativo en recursos frente a la proclamación de candidaturas y candidatos (art. 49.3 y 4 LOREG) o también, por vía de remisión explícita, frente a las resoluciones dictadas por la Sala del Tribunal Supremo regulada en el art. 61 LOPJ cuando de lo que se trata es de recurrir frente a la proclamación o exclusión de candidaturas presentadas por las agrupaciones de electores a que se refiere el art. 44.4 de la propia Ley Orgánica del régimen electoral general (es decir, conforme a este último precepto, aquéllas que vengan a continuar o suceder la actividad de un partido político declarado judicialmente ilegal y disuelto, o suspendido)”, por lo que, con independencia de otras consideraciones, es claro que, al no tener por objeto directo la referida resolución del Presidente de la Junta Electoral Central la proclamación de candidaturas, no puede ser objeto de un recurso de amparo electoral y por esta razón no van a ser objeto de examen las alegaciones que se refieren a las infracciones constitucionales que se imputan a esta resolución, sin perjuicio de las conclusiones que la Junta Electoral Central pueda extraer de lo aquí se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en primer lugar, el partido recurrente la vulneración del derecho a la igualdad en la aplicación judicial del Derecho al haber obtenido resoluciones judiciales contradictorias en asuntos similares. Esta queja no puede prosperar, pues para que se aprecie esta infracción constitucional es preciso, entre otros requisitos, que las resoluciones judiciales que se aducen como término de comparación hayan sido dictadas por el mismo órgano judicial (entre otras muchas, STC 38/2011, de 28 de marzo, FJ 6) y las resoluciones aportadas en este recurso de amparo han sido dictadas por órganos judiciales distintos de aquel que dictó la Sentencia con la que pretende efectuarse el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aduce también por el partido recurrente la vulneración de los derechos que consagran los arts. 23 y 24 CE. Según se sostiene en la demanda de amparo, al no considerar subsanable la insuficiencia de avales, tanto la resolución de la Junta Electoral Provincial de Cantabria como la Sentencia que la confirmó han efectuado una interpretación restrictiva del art. 47.2 LOREG que lesiona los referidos derechos fundamentales. Debe advertirse que la queja relativa al art. 24 CE carece de sustantividad propia, constituyendo una argumentación complementaria a la alegación referida al art. 23.2, que pasamos a analizar.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subsanación de los defectos en los que se puede incurrir al presentar las candidaturas ante la Administración electoral existe una consolidada doctrina constitucional que sostiene que, en principio, los errores e irregularidades cometidos en la presentación de las candidaturas son subsanables y, en consecuencia, las Juntas electorales han de ofrecer la oportunidad de que los defectos en los que incurran las candidaturas puedan ser corregidos (entre otras, SSTC 96/2007, de 8 de mayo, FJ 5 y 115/2007,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fundamenta en que el legislador, al configurar un trámite específico de subsanación (art. 47.2 LOREG) ha establecido una garantía del derecho de sufragio pasivo que comporta el deber de la Administración electoral de poner de manifiesto a los interesados la existencia de irregularidades en las candidaturas para que en el plazo legalmente previsto puedan ser subsanadas. Como sostuvimos en la STC 59/1987, de 19 de mayo, FJ 3, la Ley Orgánica de régimen electoral general, al establecer este trámite de subsanación de las candidaturas que incurran en irregularidades, pretende que la Administración electoral, mediante un examen de oficio de las candidaturas, pueda advertir de los defectos que fuesen apreciables en los escritos de presentación de los candidatos, pues en “este específico procedimiento, no ha querido la Ley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(STC 59/1987, de 19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declarado que el incumplimiento de este deber supone ignorar una garantía dispuesta en la ley para la efectividad del derecho de sufragio pasivo, “que resultará así afectado negativamente” (STC 59/1987, de 19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hemos afirmado que, para determinar qué defectos son subsanables, no cabe distinguir entre simples “irregularidades” y “defectos sustantivos” o esenciales, pues esta distinción no sólo no cuenta con base legal alguna, sino que “resulta contradicha por la permisión que la propia Ley hace (art. 48.1 LOREG) de la modificación de candidaturas a resultas de subsanación y desconoce, por lo demás, el principio interpretativo según el cual la legalidad aplicable ha de ser entendida en los términos más favorables a la plena efectividad del derecho fundamental” (STC 24/1989, de 2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llevado al Tribunal a considerar defectos subsanables las candidaturas incompletas o que incurrían en otro tipo de defectos. En concreto, hemos entendido que era subsanable la falta de designación de tres candidatos suplentes cuando esta exigencia era obligatoria (STC 59/1987, de 19 de mayo, FJ 4) y la no inclusión de algunos de los candidatos que la componen (STC 113/1991, de 20 mayo, FJ 3), incluso aunque sólo incluyera a uno de ellos (STC 84/2003, de 8 de mayo, FJ 5). De igual manera hemos sostenido que la exclusión de uno de los candidatos de la lista por no reunir los requisitos para poder ostentar esta condición no puede conllevar la no proclamación de la candidatura por incompleta sin haber otorgado plazo de subsanación para corregir esta irregularidad (STC 24/1989, de 2 de febrero, FJ 6). Y también hemos considerado defecto subsanable el incumplimiento de la exigencia que establece el art. 44 bis LOREG —la composición equilibrada entre hombres y mujeres de las candidaturas— (SSTC 96/2007, de 8 de mayo, FJ 6 y 115/2007, 10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ha expuesto en los antecedentes, en el presente caso, la junta electoral no tomó en consideración los avales aportados con posterioridad a la presentación de la candidatura por entender que, de acuerdo con la resolución del Presidente de la Junta Electoral Central de 20 de octubre de 2011, la insuficiencia de avales es un requisito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tal conclusión se aparta de la doctrina constitucional a la que se acaba de hacer referencia.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Como antes se ha señalado, es doctrina constitucional reiterada que las irregularidades o defectos en los que incurran las candidaturas electorales son subsanables “siempre, claro está, que ello sea materialmente factible” (por todas, STC 115/2007,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no cabe la menor duda de que por la naturaleza del defecto apreciado su subsanación es materialmente posible, pues basta con presentar nuevas firmas que permitan alcanzar el número de avales exigido legalmente para que este defecto se corrija. Debe señalarse, por otra parte, que de la regulación legal no se deriva que las firmas requeridas deban obtenerse en todo caso con anterioridad a la fecha límite de presentación de candidaturas, es decir, que después de la misma esté impedida la recogida de firmas en trámite de subsanación. Esa interpretación impeditiva de la posterior recogida de avales tampoco constituye una exigencia de otros principios o valores constitucionales que pudieran verse afectados. Es más, deducir de la norma esta consecuencia vulneraría el principio jurídico que exige que la legalidad aplicable sea entendida en los términos más favorables a la plena efectividad del derecho fundamental (STC 24/1989, de 2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concluir que la Junta Electoral Provincial de Cantabria, al aplicar el criterio (constitucionalmente inadecuado por lo que acabamos de decir) establecido en la resolución de 20 de octubre de 2011 del Presidente de la Junta Electoral Central y entender que la insuficiencia de avales no era un requisito subsanable, vulneró el derecho de los ciudadanos integrantes de la candidatura a la que representa el partido recurrente a acceder a los cargos públicos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debe señalarse que no procede entrar a examinar la queja por la que parece solicitarse del Tribunal que se pronuncie sobre la constitucionalidad del requisito establecido en el art. 169.3 LOREG que exige a los partidos políticos que no hubieran obtenido representación parlamentaria en las elecciones anteriores avalar las candidaturas que presenten con un determinado número de firmas, pues en relación con esta alegación el recurrente no ha cumplido la carga de argumentar la inconstitucionalidad denunciada. Este Tribunal ha señalado reiteradamente que “no le corresponde reconstruir de oficio la demanda supliendo las inexistentes razones de las partes, al ser una carga de quien impetra el amparo constitucional no solamente la de abrir la vía para que la jurisdicción constitucional pueda pronunciarse, sino también la de proporcionar la fundamentación fáctica y jurídica que razonablemente es de esperar y que se integra en el deber de colaborar con la justicia del Tribunal Constitucional” (entre otras muchas STC 73/2003, de 23 de abril, FJ 3). No obstante, es de añadir que esta Sala se ha pronunciado sobre esta cuestión en la STC 163/2011, de esta misma fecha, en la que hemos considerado que no es contraria a la Constitución la referida exigencia.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Unificación Comunista de España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Junta Electoral Provincial de Cantabria de 24 de octubre de 2011 de no proclamación de la candidatura del partido Unificación Comunista de España en dicha circunscripción electoral, así como de la Sentencia de 28 de octubre de 2011 del Juzgado de lo Contencioso-Administrativo núm. 1 de Santander, dictada en el recurso contencioso-electoral núm. 638-2011.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Provincial de Cantabria de 24 de octubre de 2011 para que por dicha junta electoral se admita la subsanación mediante la aportación de avales y previo el examen de los mismos, decida lo que corresponda sobre la proclamación de la candidatura del partido Unificación Comunista de España.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