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149</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5051-2000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5051-2000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por pérdida sobrevenida de su objeto, del recurso de inconstitucionalidad 5051-2000, interpuesto por el Principado de Asturias, contra el art. 1 del Real Decreto-ley 4/2000, de 23 de junio, de medidas urgentes de liberalización en el sector inmobiliario y transportes.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Constitucional el día 23 de septiembre de 2000, el Letrado del servicio jurídico del Principado de Asturias, en representación del Gobierno de esta Comunidad Autónoma, interpone recurso de inconstitucionalidad contra el art. 1 del Real Decreto-ley 4/2000, de 23 de junio, de medidas urgentes de liberalización del sector inmobiliario y transportes.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fundamentación del recurso es, resumidamente, la que se expone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representación procesal autonómica, alude en primer lugar a las competencias del Estado y de la Comunidad Autónoma del Principado de Asturias que resultan afectadas en el proceso. Se trata, en cuanto al Principado de Asturias, de su competencia exclusiva en materia de “ordenación del territorio y del litoral, urbanismo y vivienda” (art. 10.1 del Estatuto de Autonomía para Asturias: EAAst) y, en cuanto al Estado, de las competencias establecidas en los arts. 149.1.1, 13 y 18 CE, competencias que, según la disposición final del Real Decreto-ley 4/2000, le habilitan para dictar dicho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ello, señala que aunque el art. 86 CE reconoce la potestad del Gobierno de dictar normas con rango de ley en casos de extraordinaria y urgente necesidad, es necesario que cuando tal potestad se ejercite concurran efectivamente los presupuestos que la legitiman. En este sentido, dicha representación procesal afirma que en este caso no puede haber extraordinaria y urgente necesidad de incidir en la oferta de suelo y en el mercado inmobiliario, toda vez que según el preámbulo se trata de paliar las consecuencias de situaciones pro futuro. En segundo lugar, aduce que la modificación del concepto de suelo no urbanizable y su influencia sobre el urbanizable, tampoco ha de ser de materialización inmediata, puesto que se deja (disposiciones transitorias) al planificador municipal las decisiones sobre la ampliación de la oferta de suelo y ello sin imponer plazos para la revisión del plan urbanístico. Y, por último, porque al dejarse en manos de las Comunidades Autónomas la aprobación por silencio de los planes urbanísticos, desaparece la garantía efectiva del cumplimiento de las medidas. Por tanto, de acuerdo con la doctrina del Tribunal Constitucional (cita las SSTC 29/1982, FJ 6; y 23/1993, FJ 6) descarta que se satisfagan los requisitos que justifican el empleo del real decreto-ley.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 los motivos materiales de inconstitucionalidad, comenzando por el apartado 1 del art. 1, sostiene que la modificación introducida en el art. 9.2 de la Ley 6/1998 conlleva que el suelo urbanizable adquiera un carácter residual en la medida en que elimina la discrecionalidad incidiendo en el ámbito de decisión del planificador local. Por tanto, se vulnera la autonomía local (art. 137 CE) y las competencias autonómicas en materia de urbanismo (art. 10.1.3 EAAst.), sin que dicha regulación pueda encontrar cobijo en la competencia estatal del art. 149.1.13 CE, pues la medida carece de la necesaria entidad para satisfacer las exigencias que la doctrina constitucional exige para que dicho título estatal tenga virtualidad (STC 213/1994).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al apartado 2 del art. 1, que conlleva la instauración de su régimen normativo de urbanización de terrenos a la carta, a favor de los propietarios de suelo o de las Administraciones públicas, también se aduce que vulnera las competencias del Principado de Asturias en materia de ordenación del territorio y urbanismo al incidir en dos aspectos genuinamente urbanísticos: los sujetos —propietarios y Administraciones públicas— que pueden ejercitar la facultad de transformar el suelo urbanizable; y el instrumento urbanístico que ha de utilizarse para promover la transformación - el planeamiento de desarrollo. Ambos aspectos han de ser establecidos por las Comunidades Autónomas (STC 61/1997, FJ 14).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apartado 3 del art. 1 adiciona dos nuevos apartados al art. 16 de la Ley 9/1998, relativos, respectivamente, al iter necesario para la transformación del suelo urbanizable y al plazo para la aprobación por silencio del planeamiento urbanístico, aspecto ambos típicamente urbanísticos y, por tanto, de la competencia del Principado de Asturias. La competencia estatal del art. 149.1.18 CE no puede ser empleada aquí para establecer precisiones procedimentales específicas y diferenciadas de las del procedimiento administrativo común ya contenidas en la Ley 30/1992, de 26 de noviembre, de régimen jurídico de las Administraciones públicas y del procedimiento administrativo común. El plazo común del silencio desoye las posibles especialidades autonómicas, que no puede ser cuestionado a través de mecanismos de aplicación supletoria, que son inconstitucionales (STC 61/1997, FJ 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se solicita del Tribunal que acuerde la inconstitucionalidad y nulidad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17 de octubre de 2000, el Plano del Tribunal, Sección Cuarta, acordó admitir a trámite el recurso de inconstitucionalidad y dar traslado de la demanda y documentos presentados, conforme al art. 34 de la Ley Orgánica del Tribunal Constitucional, al Congreso de los Diputados y al Senado, por conducto de sus Presidentes, así como al Gobierno, a través del Ministerio de Justicia, al efecto de que en el plazo de quince días puedan personarse en el proceso y formular alegaciones. También se acordó publicar la incoación del proceso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3 de noviembre de 2000 se registra en el Tribunal un escrito de la Presidenta del Congreso de los Diputados mediante el cual comunica el acuerdo de la Mesa de la Cámara según el cual ésta no se personará en el procedimiento ni formulará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6 de noviembre de 2000, la Presidenta del Senado traslada al Tribunal el acuerdo de la Mesa de la Cámara personándose en el proceso y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22 de noviembre de 2000 se registra en el Tribunal un escrito del Abogado del Estado, personándose en el proceso y formulando las alegaciones que a continuación se sintetizan: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el Abogado del Estado exponiendo el objeto y alcance del artículo impugnado. Recuerda, a estos efectos, que los tres apartados del art. 1 del Real Decreto-ley 4/2000 dan nueva redacción o adicionan tres preceptos de la Ley 6/1998, de 13 de abril, sobre régimen del suelo y valoraciones (LRSV): el 9.2, el 15 y el 16. En concreto, 1) el apartado 1 suprime el último inciso de la regla 2 del art. 9 LRSV, que especificaba que el planeamiento general podría clasificar como suelo no urbanizable los terrenos que el planeamiento “considere inadecuados para un desarrollo urbano”, de modo que —a juicio del Abogado del Estado— mejora la coherencia interna de la LRSV al reducir la “libertad casi omnímoda” reconocida al planificador para clasificar suelo como “no urbanizable” en contra del carácter residual que, como novedad destacada en el seno de la LRSV, se vino a reconocer a tal clase de suelo; 2) con respecto al art. 15 LRSV, después de admitir que el sentido de su nuevo apartado 2 es dudoso, considera que es “más lógico y plausible” entender que cuando reconoce legitimación para promover la transformación del suelo urbanizable a las Administraciones públicas “sean o no competentes para la aprobación del correspondiente planeamiento de desarrollo”, se está refiriendo, no a las Administraciones públicas propietarias de suelo —que estarían incluidas, como un propietario privado, en el, ahora, apartado 1—, sino a las Administraciones cuyas competencias y funciones les otorguen un interés en la transformación del suelo, y 3) finalmente, la novedad introducida en el art. 16 LRSV es doble. Consiste, de una parte, en la introducción de un nuevo inciso al apartado 1, en el sentido de añadir dos nuevos momentos a quo (proyecto de delimitación, planeamiento de iniciativa privada) a los ya preexistentes (planeamiento general que delimita ámbitos o “se hayan establecido las condiciones para su desarrollo”) en punto a la delimitación del alcance del derecho a la transformación del suelo urbanizable. Según el Abogado del Estado, de este modo se dota de mayor efectividad al derecho a la transformación del suelo urbanizable, pero, “como es evidente, la nueva redacción del art. 16.1 LRSV sólo facilita la presentación de instrumentos de planeamiento o delimitación elaborados por la iniciativa privada que, por supuesto, habrán de ser sometidos a la Administración competente para su aprobación”. El nuevo apartado 3 del art. 16 LRSV, por su parte, incorpora una “regla básica”, que rige en todo caso, sobre el plazo de silencio positivo para la aprobación definitiva de planes de desarrollo formados por particulares o las Administraciones que carezcan de competencia para su aprobación. Plazo que será de seis meses, salvo que el legislador autonómico establezca otro y que, como novedad, se contará desde la presentación del plan, advirtiéndose —también como novedad— que el obligado trámite de información pública podrá efectuarse “a iniciativa de quien promueva el planeamiento”.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 la infracción del art. 86.1 CE por falta del presupuesto habilitante, el Abogado del Estado, después de destacar que el Real Decreto-ley 4/2000 se integra en un conjunto más amplio de medidas liberalizadoras, conformado asimismo por los Reales Decretos-leyes 3/2000, 5/2000, 6/2000 y 7/2000, todos ellos de 23 de junio, advierte que la naturaleza y finalidad de las medidas incluidas en su art. 1 respecto al sector inmobiliario quedan aclaradas en los cuatro primeros párrafos de su exposición de motivos y, en particular, en el cuarto, en el que se hace mención a las rigideces advertidas en el mercado inmobiliario derivadas del incremento de la demanda y el consiguiente incremento del precio de los productos inmobiliarios, condicionado, a su vez, por la escasez de suelo urbanizado; situación frente a la que se pretende actuar eliminando las previsiones normativas que pueden limitar la oferta, con la intención de reducir el precio final de los bienes inmobiliarios. Recuerda, seguidamente, el representante del Gobierno los términos en que se desarrolló el debate de convalidación o derogación del real decreto-ley, en el que se acordó la convalidación y la sucesiva tramitación del texto como proyecto de ley por el procedimiento de urgencia, a los efectos de lo cual extracta algunos pasajes de la intervención del entonces Ministro de Fomento.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la base de estos antecedentes, y después de recordar el sentido y alcance de los decretos-leyes y del limitado margen de control que sobre su aprobación, en términos de apreciación de la concurrencia del presupuesto habilitante, le corresponde ejercer al Tribunal Constitucional (cfr. STC 29/1982, de 31 de mayo, FJ 3), el Abogado del Estado apunta que el art. 1 del Real Decreto-ley 4/2000 no puede considerarse aisladamente, sino como una pieza del conjunto de medidas liberalizadoras plasmadas en todos los reales decretos-leyes de 23 de junio de 2000, de lo que deduce que el examen de la conexión de sentido entre situación y medida a la que se refiere la doctrina constitucional debe abarcar todas estas normas, lo que no se hace en el escrito rector de este recurso. No hay razón para dudar de que, tal y como se afirma en la exposición de motivos del Real Decreto-ley 4/2000, efectivamente existía una situación económica que hacía necesaria la adopción de medidas urgentes para “evitar la aparición de desequilibrios macroeconómicos” o “efectos indeseables”; ni cabe poner en tela de juicio que hayan aparecido “elementos de comportamiento imprevisible” desfavorables para la evolución positiva de la economía española. Del hecho de que no se hubieran recurrido todos los reales decretos-leyes de referencia extrae el Abogado del Estado la conclusión de que existía una convicción compartida de que se estaba en presencia de un caso de extraordinaria y urgente necesidad que justificaba la adopción de las medidas incluidas en ellos, o al menos de algunas de dichas medidas. En todo caso, “con los elementos de juicio que se ofrecen en este proceso no cabe poner en tela de juicio la existencia de una situación general que demandaba una acción normativa liberalizadora de carácter urgente”. En apoyo de esta conclusión se citan las SSTC 6/1983, de 4 de febrero, FJ 5; y 182/1997, de 28 de octubre, FJ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Afirmada la situación general de extraordinaria y urgente necesidad, de lo único que cabría dudar, a juicio del representante del Gobierno, es de que concurra el requisito de la conexión de sentido, es decir, de que las modificaciones introducidas en la LRSV por el Real Decreto-ley 4/2000 sean una respuesta congruente o adecuada, y ello en el bien entendido de que el juicio que le compete hacer al respecto al Tribunal Constitucional debe contraerse a verificar la existencia o no de abuso o arbitrariedad, sin entrar a valorar el acierto o desacierto, incluso demostrable, de la medida (STC 111/1983, de 2 de diciembre, FJ 7), ni confundir tal análisis con un control de proporcionalidad, que abarca más elementos y reviste mayor intensidad y penetración. En este sentido, afirma el Abogado del Estado que la demanda pretende incitar al Tribunal Constitucional a efectuar un juicio de proporcionalidad similar al que cabría respecto de una disposición reglamentaria, impropio del examen de la concurrencia del presupuesto habilitante para el dictado de un real decreto-ley.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Sentado que la finalidad de las medidas incluidas en el art. 1 del Real Decreto-ley 4/2000 consiste en la eliminación de las rigideces del mercado, propiciando un incremento del suelo urbanizable y urbanizado que tenga efectos positivos sobre el precio final de la vivienda y demás construcciones, insiste el Abogado del Estado en que el examen de la conexión de sentido no puede consistir en llegar a determinar si existe garantía absoluta de que la medida alcanzará su finalidad, y ni siquiera puede llegar a requerir la demostración de una probabilidad suficiente ex ante. Hacerlo así resultaría poco realista y conduciría al Gobierno a la inacción. El Tribunal Constitucional debe verificar sencillamente si resulta patente la falta de racionalidad de la relación entre la medida y el objetivo perseguido, sin interrogarse sobre su mayor o menor probabilidad de acierto ni entrar en discutibles consideraciones acerca de su bondad técnica.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Bajo tales parámetros, el representante del Gobierno descarta que las medidas objeto del artículo recurrido resulten arbitrarias o abusivas, en el sentido de manifiestamente desprovistas de racionalidad, por manifiestamente incongruentes o inadecuadas respecto del objetivo que pretenden alcanzar. 1) La modificación del art. 9.2 LRSV “es claramente adecuada a la finalidad de aumentar el suelo urbanizable y, mediante ello, abrir mayores posibilidades de transformarlo en suelo urbanizado”, en la medida en que restringe la libertad del planificador para clasificar discrecionalmente suelo como no urbanizable. 2) En el caso del art. 15 LRSV, “es claro que se orienta a ampliar o abrir mayores posibilidades de impulsar la urbanización”, por lo que persigue el incremento de la oferta de suelo urbanizado, “sea mayor o menor la real efectividad que vaya a tener”. 3) Y, finalmente, las novedades introducidas en el art. 16 LRSV también encierran el suficiente grado de congruencia y adecuación a la finalidad declarada: es evidente que la ampliación de los supuestos en que cabe ejercitar el derecho de transformación del suelo “favorece su urbanización” (apartado 1), como también puede concluirse que la fijación de un plazo para el silencio positivo resulta “beneficioso para acometer un proceso urbanizador, al dar mayor seguridad jurídica sobre la legitimación de las actuaciones de gestión urbanística”, a lo que añade que “otro tanto cabe decir de la medida consistente en facilitar el cumplimiento del trámite de información pública” (apartado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conclusiones se complementan con la afirmación de que los argumentos contenidos en la demanda no pueden compartirse, según sostiene el Abogado del Estado. En primer lugar, porque las críticas vertidas sobre el alcance de los argumentos expresados en la exposición de motivos del real decreto-ley recurrido implican exigir a este tipo de normas un requisito formal de motivación asimilable al que el art. 54 de la Ley 30/1992 exige para los actos administrativos, requisito que, sin embargo, la Constitución no prevé, pues basta con que su parte expositiva o el expediente para su elaboración ofrezcan elementos suficientes de juicio para entender que respetan el supuesto constitucional de hecho previsto para su emisión, siendo así que en el presente caso habría quedado demostrado que concurren elementos “más que suficientes” de juicio para entender que concurre el presupuesto constitucional habilitante.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el carácter estructural del problema que se pretende atajar excluye de suyo que pueda convertirse en un caso de extraordinaria y urgente necesidad que habilite la aprobación de un decreto-ley. “No hay” —afirma el Abogado del Estado— “el más mínimo fundamento en la CE para establecer una suerte de correlación coyuntura/decreto-ley frente a estructura/ley ordinaria”. La urgencia puede consistir, como se indica en la exposición de motivos del Real Decreto-ley 4/2000, en incidir “de forma inmediata” en el comportamiento de los agentes económicos. Se intenta corregir un problema estructural mediante normas de inmediata eficacia que incidan desde el momento de su aplicación sobre los agentes económicos, sin que quepa dudar de esa inmediatez. 1) La reforma del art. 9.2 LRSV incide inmediatamente sobre el ejercicio de la potestad de planificación, lo que supone —incluso en la interpretación menos generosa sobre su alcance inmediato, reducida a los procesos de planificación iniciados después del 24 de junio de 2000— que el precepto tendría incidencia inmediata en el comportamiento de los agentes económicos, que saben que pro futuro no existe la posibilidad de libre clasificación de suelo como no urbanizable (en comparación con la STC 23/1993, de 21 de enero, FJ 6). 2) El nuevo art. 15.2 LRSV confiere legitimación a las Administraciones no competentes en materia urbanística para promover la transformación del suelo desde la fecha misma de entrada en vigor del Real Decreto-ley 4/2000. 3) En términos similares, desde ese día, en aplicación del art. 16 reformado, tanto esas Administraciones como los particulares quedan facultados para presentar proyectos de delimitación o las propuestas de planeamiento que permitan luego presentar el correspondiente planeamiento de desarrollo que permita ejecutar la urbanización y, finalmente, desde esa fecha podrán presentar instrumentos de planeamiento de desarrollo que resultarán definitivamente aprobados por silencio desde su fecha de presentación en el plazo de seis meses y el promotor del plan podrá ejercer su derecho de iniciativa en materia de información pública, siendo incluso superior la incidencia del nuevo art. 16.3 LRSV “si se interpretara que el nuevo plazo de silencio se aplica incluso a los procedimientos pendientes a la entrada en vigor del real decreto-ley”. A estos efectos se hace notar que en la nueva redacción del precepto los seis meses “cubren las tres fases de aprobación inicial, provisional y definitiva y deben contarse desde la presentación del instrumento”.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trascripción literal de la STC 23/1993, de 21 de enero, FJ 5, concluye el Abogado del Estado que “no puede negarse la concurrencia del presupuesto habilitante exigido por el art. 86.1 CE para dictar el art. 1 del Real Decreto-ley 4/2000”. </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B) Defiende a continuación el representante del Gobierno la competencia estatal para dictar el art. 1 del Real Decreto-ley 4/2000 con apoyo en los títulos invocados en su disposición final segunda, títulos que vienen a coincidir (con excepción del plasmado en el art. 149.1.23 CE) con los invocados en la disposición final única de la LRSV. De ahí que advierta que algunos de los argumentos aquí manejados son reiterativos de los ya expuestos en los recursos de inconstitucionalidad núm. 3004-1998 y acumulados.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la cobertura competencial expresamente invocada por el Real Decreto-ley objeto de impugnación, advierte el Abogado del Estado que su razonamiento ha de ceñirse a demostrar que el contenido del artículo citado tiene carácter de “base” (reglas 13 y 18 del art. 149.1) o de “condición básica” a los efectos del art. 149.1.1 CE, y ello centrándose en el concreto contenido del artículo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Afirma, en primer lugar, el Abogado del Estado que la modificación del art. 9.2 LRSV se ampara en los números 1 y 13 del art. 149.1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primer título invocado, el Abogado del Estado parte del dato de que la clasificación del suelo contenida en la LRSV se ofrece, según su art. 7, “a los efectos de esta Ley”, lo que supondría que tal clasificación es el basamento elegido por el legislador estatal para establecer los derechos y deberes de los propietarios y el régimen de valoraciones, siendo así que reposa en la distinción entre el suelo “ya transformado”, el que puede ser “objeto de transformación” y el “incompatible con su transformación”. De ahí que la exposición de motivos de la LRSV, en su apartado 2, afirme que las competencias estatales comprenden “inequívocamente la determinación de las distintas clases de suelo como presupuesto mismo de la definición de las condiciones básicas del derecho de propiedad urbana”.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Bajo este planteamiento, afirma el Abogado del Estado que la competencia estatal para las grandes clasificaciones de suelo, presupuesto del establecimiento de las condiciones básicas del art. 149.1.1 CE, no puede agotarse en la mera enunciación de las clases de suelo como puros nomina iuris vacíos de todo contenido sin poder concretar, siquiera mínimamente, el contenido de cada una de las clases de suelo, es decir, dar un mínimo definitorio para cada una de ellas, como vienen a hacer los arts. 8 a 11 LRSV. Si se toma, además, en cuenta la cláusula de equivalencia contenida en el art. 7, que supone la no imposición de las designaciones formales, resultará evidente que lo que el legislador estatal persigue es “uniformidad en la cosa”, una homogeneidad mínima en la definición de las tres grandes clases de suelo transformado, en transformación e incompatible con la transformación. Con apoyo en la STC 61/1997 [FFJJ 7 b) in fine, 8 y 15 a)], defiende el Abogado del Estado que si el legislador nacional tiene competencia, con arreglo al art. 149.1.1 CE, para establecer el mínimo definitorio de esas grandes clases de suelo, la tiene también para alterarlo parcialmente en una de ellas cuando, mediante esta operación, pretenda preservar mejor el carácter subsidiario del suelo urbanizable genérico y dotar de mayor coherencia interna a la LRSV.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la modificación se ampararía también en el art. 149.1.13 CE pues se ha concebido como una medida que facilita la disponibilidad de suelo urbanizable para su transformación y, por tanto, tiende a incrementar la oferta de suelo urbanizable. Su carácter estructural no impide que pueda ser considerada, simultáneamente, como una medida de ordenación económica con efectos más o menos inmediatos en el corto y medio plazo sobre la oferta de suelo que puede ser transformado.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al apartado 1 del art. 15 LRSV, se justifica en la competencia estatal del art. 149.1.1 CE (STC 61/1997, FFJJ 8 a 10) y complementariamente en las reglas 13 y 18 del mismo art. 149.1 CE. En lo relativo a la innovación introducida en el art. 15.2 LRSV se ampara, a juicio del Abogado del Estado, tanto en el art. 149.1.18 CE como en el art. 149.1.13 CE, no siendo incardinable en el art. 149.1.1 CE habida cuenta de que las Administraciones no ostentan la condición de ciudadanos y, por otra parte, no es verosímil que sean contempladas en el precepto en su condición de propietarias.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del primer título invocado, el Abogado del Estado trae a colación lo afirmado en la STC 61/1997, FJ 26 a) —que advierte que la competencia exclusiva del Estado sobre las bases del régimen jurídico de las Administraciones públicas “no tiene por qué agotarse necesariamente en la fijación de unas bases expresadas de una vez por todas en una sola ley, sino que admite, sin desbordar por ello el concepto de lo básico, la determinación de bases relativas a un sector específico, como es el urbanismo”— para advertir, a la luz del contenido concreto del precepto, que la determinación de quienes están o no legitimados para promover la transformación del suelo urbanizable constituye una base del régimen jurídico-administrativo del urbanismo. Y ello en el bien entendido de que tal legitimación supone, tal y como revelan las modificaciones del art. 16 LRSV, el derecho a elaborar y presentar los instrumentos de desarrollo precisos para emprender la transformación (art. 16.3) y, tal vez, el derecho a elaborar y presentar proyectos de delimitación o propuestas de planeamiento que permitan luego formular el instrumento de desarrollo (art. 16.1).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a juicio del Abogado del Estado, el precepto también podría apoyarse en el art. 149.1.13 CE, en la medida en que contiene un mandato implícito a las Administraciones públicas para que promuevan la transformación del suelo urbanizable, paliando así las rigideces del mercado inmobiliario y luchando contra los obstáculos que la escasez de oferta de suelo urbanizado opone al derecho a la vivienda (art. 47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Según defiende el representante del Gobierno, las novedades del art. 16 LRSV pueden ampararse en los tres títulos invocados.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dos primeras innovaciones incorporadas por el artículo —ampliar la lista de supuestos en que cabe ejercer el derecho de transformación del suelo urbanizable mediante la presentación del oportuno planeamiento de desarrollo y la fijación de un plazo para su aprobación definitiva— permiten hacer efectivo el derecho a urbanizar o a transformar el suelo urbanizable, siendo su regulación “conexa al derecho a urbanizar”, en los términos de la STC 61/1997, FJ 25 a). De ello deduce el Abogado del Estado la cobertura del art. 1491.1.1 CE, a lo que suma la posibilidad de invocar la regla 18 del mismo artículo pues no podría negarse la condición de “base del régimen jurídico-administrativo urbanístico” a la determinación uniforme de los supuestos en los que es posible formular instrumentos planificadores de desarrollo que gobiernen el proceso de urbanización, ni a la exigencia de un plazo para la aprobación definitiva de estos instrumentos de desarrollo. La anterior conclusión no se ve contradicha por que se reconozca a los legisladores autonómicos la facultad de establecer un plazo de silencio positivo, sin que ello suponga la creación de un inconstitucional Derecho supletorio. Lo básico en el nuevo art. 16.3 LRSV es la decisión misma de que la aprobación definitiva esté sujeta a un plazo de silencio positivo en torno a los seis meses, no ya desde la aprobación inicial sino desde la presentación del instrumento de desarrollo. Por ello, no sería constitucionalmente admisible la decisión del legislador autonómico de fijar un plazo de silencio positivo irrazonablemente divergente “en más” del de seis meses. Por otro lado, la doctrina de la STC 61/1997 prohíbe al Estado dictar normas supletorias sin respaldo competencial [FJ 12 c)], pero ello no es obstáculo para que dicte normas supletorias allí donde disponga de competencia, como aquí la tiene. Además, una correcta identificación de lo básico con la existencia de un plazo y la fijación de un criterio orientativo para su establecimiento permite disipar cualquier duda que pudiera albergarse sobre la posibilidad de aprobación de normas subsidiarias —mejor que supletorias— desde un título competencial para la definición de lo básico.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las dos innovaciones que se examinan tienen un aspecto o dimensión de medidas que pretenden lograr el incremento de la oferta de suelo urbanizado, por lo que se pueden incardinar en el art. 149.1.13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hace al nuevo inciso final del art. 16.3 LRSV, referido al trámite de información pública, el Abogado del Estado entiende que, en aplicación de la doctrina establecida en la STC 61/1997, FJ 25 c), encontraría cobertura en el art. 149.1.18 CE, por cuanto aquélla constituye, en último término, un modo de participación ciudadana en el procedimiento de aprobación de un instrumento de planeamiento. Algo que se muestra más apremiante en supuestos, como es el caso, en que los instrumentos de planeamiento son formulados por particulares o por Administraciones que no son las competentes para su aprobación, constituyendo, evidentemente, base del régimen jurídico de las Administraciones públicas la garantía de que sin información pública no habrá aprobación, por silencio, del planeamiento de desarrollo. De otra parte, el derecho de iniciativa conferido al promotor en relación con este trámite podría considerarse también como una medida favorecedora de la desaparición de rigideces del mercado inmobiliario y favorecedora del incremento de la oferta de suelo urbanizado, lo que nos reconduciría al art. 149.1.13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Rechaza, por último, la infracción de los arts. 137 y 140, pues de la garantía constitucional de la autonomía local no se deduce la atribución de ninguna competencia concreta ni impide que el legislador estatal o autonómico dicte normas que incidan en el urbanismo.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su alegato el Abogado del Estado solicitando la desestimación del recurso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Letrado del Principado de Asturias, en representación de su Gobierno, ha interpuesto recurso de inconstitucionalidad contra el art. 1 del Real Decreto-ley 4/2000, de 23 de junio, de medidas urgentes de liberalización en el sector inmobiliario y transportes.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la STC 137/2011, de 14 de septiembre, recaída en el recurso de inconstitucionalidad 5023-2000, promovido por 91 Diputados del Grupo Parlamentario Socialista del Congreso de los Diputados contra el art. 1 del Real Decreto-ley 4/2000, de 23 de junio, de medidas urgentes de liberalización en el sector inmobiliario y transportes ha declarado ya la inconstitucionalidad y nulidad de dicho art. 1 por vulneración del art. 86.1 CE. Por tanto, una vez que la norma discutida ha sido declarada nula por la Sentencia indicada, que vincula a todos los poderes públicos (arts. 38.1 y 39.1 de la Ley Orgánica del Tribunal Constitucional), el presente proceso de inconstitucionalidad núm. 5051-2000 ha quedado ya sin finalidad por desaparición sobrevenida de su objeto (STC 387/1993, de 23 de diciembre, FJ único), figura ésta de la extinción procesal “cuya integración dentro de nuestro sistema de justicia constitucional resulta plenamente viable, pese al silencio de la Ley Orgánica del Tribunal Constitucional, en razón a la virtualidad propia de los principios que inspiran la institución procesal” (ATC 14/1996, de 17 de enero, FJ único).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por pérdida sobrevenida de su objeto, del recurso de inconstitucionalidad 5051-2000, interpuesto por el Principado de Asturias, contra el art. 1 del Real Decreto-ley 4/2000, de 23 de junio, de medidas urgentes de liberalización en el sector inmobiliario y transportes.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noviembre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