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30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4821-2009 y 4829-2009, promovidos respectivamente por Canal Mundo Producciones Audiovisuales, S.A., representado inicialmente por el Procurador de los Tribunales don Javier Zabala Falcó y posteriormente por la Procuradora de los Tribunales doña María Luisa Montero Correal y asistido inicialmente por el Abogado don Javier López Gutiérrez y posteriormente por el Abogado don Juan Luis Ortega Peña, y por Televisión Autonómica Valenciana, S.A., representada por la Procuradora de los Tribunales doña Gloria Rincón Mayoral y asistida por la Letrada doña María Jesús Villanueva Lázaro, contra la Sentencia núm. 1233/2008, de fecha 16 de enero de 2009 y la providencia de 14 de abril de 2009 de la Sala de lo Civil del Tribunal Supremo dictadas en el recurso de casación núm. 1171-2002.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mayo de 2009, el Procurador de los Tribunales don Javier Zabala Falcó, en nombre y representación de Canal Mundo Producciones Audiovisuales, S.A., y con la asistencia letrada del Abogado don Javier López Gutiérrez,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registrado en este Tribunal el día 22 de mayo de 2009, la Procuradora de los Tribunales doña Gloria Rincón Mayoral, en nombre y representación de Televisión Autonómica Valenciana, S.A., y asistida por la Letrada doña María Jesús Villanueva Lázaro, interpuso igualmente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demandas de amparo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periodista doña Lidia González Hermida, contratada por la productora Canal Mundo Producciones Audiovisuales, S.A., acudió a la consulta de doña Rosa María Fornés Tamarit, esteticista y naturista, haciéndose pasar por una paciente, por lo que fue atendida por ésta en la parte de su vivienda destinada a consulta, ocasión utilizada por la primera para grabar la voz y la imagen de la segunda por medio de una cámara oculta.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Canal Mundo Producciones Audiovisuales, S.A., cedió la grabación obtenida a Televisión Autonómica Valenciana, S.A., que la emitió en el programa PVP de la cadena de televisión Canal 9, dirigido por don Javier Ángel Preciado de Cossío y presentado por doña Manuela Lacomba Ríos. Además de emitirse la grabación con las imágenes y la voz captada a doña Rosa María Fornés Tamarit, en el programa se desarrolló también una tertulia sobre la existencia de falsos profesionales que actúan en el mundo de la salud, con intervención de un representante de la asociación española de fisioterapeutas, el Letrado que había defendido los intereses de la misma en el proceso penal contra doña Rosa María Fornés Tamarit al que se hará mención a continuación, así como una paciente que había sido atendida en una ocasión por esta última. En la tertulia los intervinientes criticaron a doña Rosa María Fornés Tamarit, cuya imagen apareció en un ángulo de la pantalla, y pusieron de manifiesto la existencia, casi tres años antes de la grabación emitida, de una condena penal previa contra dicha persona por delito de intrusismo por haber actuado como fisioterapeuta sin ostentar título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Considerando que los comentarios expresados en dicho programa de televisión lesionaban su derecho al honor y que la captación y publicación de sus imágenes dañaban su derecho a la propia imagen y a la intimidad, doña Rosa María Fornés Tamarit interpuso el 5 de febrero de 2001 ante el Juzgado de Primera Instancia núm. 17 de Valencia demanda de juicio ordinario contra doña Lidia González Hermida, Canal Mundo Producciones Audiovisuales, S.A., doña Manuela Lacomba Ríos, don Javier Ángel Preciado de Cossío y Televisión Autonómica Valenciana, S.A., interesando la condena de los demandados a la difusión íntegra en el programa de televisión Canal 9 de la sentencia que se fallase y a indemnizar solidariamente a doña Rosa María Fornés Tamarit por una cantidad de setenta y cinco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núm. 17 de Valencia dictó Sentencia desestimando la demanda el 26 de junio de 2001. Declara el juzgador de instancia que la actuación desarrollada por la periodista mediante la cámara oculta se enmarca en el llamado periodismo de investigación, al que es consustancial la simulación de la situación, el carácter oculto de la cámara de grabación así como la no revelación de la identidad periodística del interlocutor. Por otra parte, las manifestaciones efectuadas por la presentadora del programa o por terceros en el curso del mismo no constituyen infracción de derecho alguna, pues era indudable el ánimo puramente informativo que inspiraba la emisión, vertiéndose datos ciertos y objetivos como la prosecución de actuaciones penales por delito de intrusismo frente a la actora que concluyeron en Sentencia firme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por doña Rosa María Fornés Tamarit, la Sección Sexta de la Audiencia Provincial de Valencia dictó, con fecha de 24 de enero de 2002, Sentencia desestimándolo y confirmando íntegramente la Sentencia recurrida. El Tribunal destaca que la doctrina de la información neutral, aducida por el juzgador de instancia resulta perfectamente aplicable a las declaraciones vertidas por los intervinientes del programa televisivo, las cuales resultan amparadas por el ejercicio de la libertad de expresión ante unos hechos veraces, y que en ningún momento se vierte manifestación alguna que pueda entenderse insultante o vejatoria contra el honor de la parte apelante. El Tribunal de apelación concluyó que el reportaje objeto de recurso reunía todos los requisitos necesarios (veracidad, objetividad, interés general y propósito esencialmente informativo) que permitían considerar que el informante había procedido dentro del ámbito protegido constitucionalmente sin atentar contra ningún derecho constitucionalmente amparado.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interpuso recurso de casación, que fue tramitado con el núm. 1171-2002, alegando infracción del art. 18.1 CE en relación con el art. 7, apartados 1, 5 y 7, de la Ley Orgánica 1/1982, de 5 de mayo. Con fecha de 16 de enero de 2009, la Sala de lo Civil del Tribunal Supremo declaró haber lugar al recurso de casación. El Tribunal Supremo declaró que procedía estimar el recurso de apelación interpuesto por doña Rosa María Fornés Tamarit contra la Sentencia dictada por el Juzgado de Primera Instancia núm. 17 de Valencia con fecha 26 de junio de 2001, la cual quedó sin efecto, sin especial pronunciamiento sobre las costas de la segunda instancia y, en lugar de ella, estimó en parte la demanda interpuesta contra doña Lidia González Hermida, Canal Mundo Producciones Audiovisuales, S.A., don Javier Ángel Preciado de Cossío y Televisión Autonómica Valenciana, S.A., a los que se condenó solidariamente a indemnizar a doña Rosa María Fornés Tamarit en la suma de treinta mil cincuenta euros con sesenta y un céntimos, sin pronunciamiento condenatorio en costas, al tiempo que desestimaba la demanda en cuanto dirigida contra doña Manuela Lacomba Ríos, con imposición a la actora de las correspondientes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descarta la vulneración del derecho al honor, pero estima el motivo de casación basado en la infracción del derecho a la intimidad (art. 18.1 CE) sobre la base de que, al no mediar consentimiento expreso, exigible con arreglo al art. 2.2 en relación con el art. 7.1 de la Ley Orgánica 1/1982, de 5 de mayo, la intromisión fue ilegítima. La Sentencia de casación señala que las intromisiones ilegítimas se produjeron en dos planos distintos: la grabación de la actuación de la actora en su consulta, y la emisión televisiva de las imágenes grabadas. El Tribunal Supremo no discute que el reportaje fuera plenamente veraz ni tampoco el interés general en informar de los riesgos del intrusismo profesional, pero estima que tales datos no eran suficientes para resolver el conflicto entre el derecho a la intimidad y la libertad de información. El Tribunal destaca que del reportaje no resulta con suficiente claridad que la actora ejerciera sin título la condición de fisioterapeuta; tampoco se aclara por qué fue ella la persona elegida para dar un ejemplo público de una práctica inadmisible, sin que la condena anterior bastara a tal efecto. Considera igualmente que el material obtenido y difundido públicamente carecía de la relevancia necesaria para justificar el sacrificio de un derecho fundamental imprescindible en la vida de relación, y que el método utilizado para consumar la primera fase de la intromisión —la llamada cámara oculta— no era imprescindible para descubrir la verdad de lo que acontecía en la consulta de la actora, habiendo bastado a tal efecto con realizar entrevistas a sus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estima asimismo el motivo de casación basado en la infracción del derecho a la propia imagen (art. 18.1 CE), en cuanto que la demandante en casación fue privada, tanto en el momento de la grabación como en el de la emisión televisiva, del derecho a decidir, para consentirla o impedirla, sobre la reproducción de la representación de su aspecto físico determinante de una plena identificación. Por otro lado, en cuanto que el reportaje se centró en la persona de la demandante, incluso emitiendo su imagen durante las manifestaciones de los invitados, la convirtió en elemento fundamental de la información, no cabe entender que se grabara y publicara una imagen meramente accesoria de la información a los efectos del apartado segundo del art. 8.2 c) de la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14 de abril de 2009 el Tribunal Supremo declaró no haber lugar al incidente de nulidad de actuaciones planteado por Canal Mundo Producciones Audiovisuales, S.A., y por Televisión Autonómica Valenciana, S.A., mediante sendos escritos de 10 y 16 de marzo de 2009, respectivamente, razonando que la petición de nulidad no tenía más fundamento que mostrar su disconformidad con los razonamientos de la Sentencia, cuestionando bajo la denuncia de la infracción del art. 20.1 d) CE referido al derecho a la libertad de información, el juicio de ponderación y proporcionalidad realizado entre aquel derecho y los derechos a la intimidad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Canal Mundo Producciones Audiovisuales, S.A., aduce en su demanda de amparo la vulneración del derecho a comunicar libremente información veraz del art. 20.1 d) CE, por cuanto la Sentencia del Tribunal Supremo desatendió los criterios de ponderación y proporcionalidad tradicionalmente admitidos por la jurisprudencia del Tribunal Constitucional y del Tribunal Europeo de Derechos Humanos como legitimadores del derecho a la libertad de información frente a los derechos a la intimidad y a la propia imagen. Invoca la prevalencia del derecho a informar frente a los derechos individuales de la persona, en particular frente a los derechos a la intimidad personal y a la propia imagen (art. 18.1 CE). Sostiene que el empleo de cámara oculta no puede limitar per se el derecho a informar del art. 20.1 d) CE. Lo que por el contrario determina la licitud o ilicitud de la utilización de la cámara oculta es la concurrencia de los requisitos señalados por la jurisprudencia constitucional y europea: veracidad, interés general y fin informativo. La productora recurrente alega que el reportaje de investigación producido informó verazmente sobre un problema social que interesa sobremanera por afectar a algo tan básico y esencial como son la salud y los fraudes que en su nombre se cometen, y que no afectó a la intimidad de la persona grabada, en cuanto que el reportaje reprodujo lo que aquella voluntariamente comunicó a la que creía su paciente, no versó en ningún momento sobre cuestiones relacionadas con la intimidad de la actora, y tuvo lugar en la parte de la vivienda destinada a consulta. La recurrente aduce que la Sentencia del Tribunal Supremo genera una situación de inseguridad jurídica a todos aquellos operadores que emplean la técnica de la cámara oculta para la producción de reportajes de investigación en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Televisión Autonómica Valenciana, S.A., alega en su demanda de amparo la vulneración del derecho a comunicar o recibir libremente información veraz por cualquier medio de comunicación consagrado en el art. 20.1 d) CE, por cuanto la Sentencia del Tribunal Supremo realizó una errónea ponderación al analizar los derechos a la intimidad y a la imagen, por un lado, y el derecho a la información, por otro. En cuanto a la ponderación relativa al derecho a la intimidad, la recurrente subraya que la Sentencia recurrida en amparo reconoció la veracidad y el interés general del reportaje, así como la inexistencia de lesión en el derecho al honor de la actora. En cambio, los motivos en los que se basa la Sentencia recurrida (que la periodista no recabó el consentimiento para su grabación, que la relación entre actora y periodista se desarrolló en un ámbito indudablemente privado, y que la cámara no era necesaria para descubrir la verdad de lo que acontecía en la consulta de la actora) no cuentan con el apoyo de la doctrina constitucional o se apartan de la jurisprudencia del Tribunal Europeo de Derechos Humanos: por un lado, con la exigencia de consentimiento se estaría negándose el periodismo de investigación, el cual viene avalado por la jurisprudencia del Tribunal Europeo; por otro, con cita de la Sentencia del Tribunal Europeo de Derechos Humanos de 23 de septiembre de 1994 (Jersild c. Dinamarca), aduce que la decisión de la técnica de información corresponde a los periodistas. Igualmente considera que se apartan de la doctrina constitucional el motivo por el que se apreció la vulneración del derecho a la propia imagen: a saber, que la actora fue identificada por sus rasgos físicos durante la emisión del reportaje, sin que se recabara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del Tribunal Constitucional, por sendas providencias de 15 de noviembre de 2010, acordó admitir a trámite las demandas de amparo. Asimismo, en ambas providencias, en aplicación de lo dispuesto en el art. 51 de la Ley Orgánica del Tribunal Constitucional (LOTC), se acordó dirigir atenta comunicación a la Sala de lo Civil del Tribunal Supremo, a la Sección Sexta de la Audiencia Provincial de Valencia y al Juzgado de Primera Instancia núm. 17 de Valencia, a fin de que, en plazo que no exceda de diez días, remitieran respectivamente certificación o fotocopia adverada de las actuaciones correspondientes al recurso de casación 1171-2002, al rollo de apelación 579-2001 y al juicio declarativo ordinario 100-2001.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Posteriormente, mediante dos diligencias de ordenación de la Secretaría de Justicia de la Sala Primera de este Tribunal, de fecha 25 de enero de 2011 (recurso de amparo núm. 4829-2009) y 7 de febrero de 2011 (recurso de amparo núm. 4821-2009), se tuvo por recibido testimonio de las actuaciones remitidas por el Juzgado de Primera Instancia núm. 17 de Valencia, la Sección Sexta de la Audiencia Provincial de Valencia y la Sala de lo Civil del Tribunal Supremo y, a tenor de lo dispuesto en el art. 52 LOTC, se dio vista de las actuaciones, por un plazo común de veinte días, al Ministerio Fiscal y a las partes personadas, para que dentro de dicho término pudieran presentar las alegaciones que a su derecho convinieran. En la misma diligencia de ordenación de 7 de febrero de 2011, la Secretaría de Justicia de la Sala Primera de este Tribunal se tuvo por designado para la defensa de Canal Mundo Producciones Audiovisuales, S.A., al Letrado don Juan Luis Ortega Peña.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Canal Mundo Producciones Audiovisuales, S.A., y Televisión Autonómica Valenciana, S.A., por sendos escritos de 10 y 22 de febrero de 2011, se afirmaron y ratificaron en las argumentaciones contenidas en los respectivos recursos de amparo formulados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escritos registrados los días 3 (recurso de amparo núm. 4829-2009) y 8 (recurso de amparo núm. 4821-2009) de marzo de 2011, interesó que se desestimaran los amparos. A su juicio el objeto de los amparos solicitados se ciñe a examinar desde el plano constitucional si se vulneró el derecho fundamental a la libertad de información del art. 20.1 d) CE en su relación con el derecho a la intimidad, por un lado, y al derecho a la propia imagen, por otro, derechos ambos reconocidos en el art. 18.1 CE con un contenido propio y específico cada uno. Las alegaciones preliminares del Ministerio Fiscal comienzan en ambos escritos por enmarcar el conflicto entre libertad de información y derecho a la intimidad. Si bien ocupa una posición especial en nuestro sistema de derechos fundamentales, se recuerda que la libertad de información no goza de un valor preferente o superior frente a otros derechos fundamentales y que las intromisiones en otros derechos fundamentales han de guardar congruencia con la finalidad pretendida. Mientras los criterios de veracidad o la teoría del reportaje neutral no son relevantes para el enjuiciamiento del caso, sí lo es a juicio del Ministerio Fiscal el criterio de la relevancia pública de la información captada y emitida, relevancia que no debe ser confundida con el simple interés del público o con la simple satisfacción de la curiosidad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dos escritos presentados estima el Ministerio Fiscal que en el presente caso adquiere una singular importancia la forma de obtención de la información mediante el empleo de una cámara oculta: “El carácter oculto que caracteriza a este medio impide que la persona que está siendo grabada pueda ejercer su legítimo poder de exclusión frente a dicha grabación, oponiéndose a su realización y posterior publicación, pues el contexto secreto y clandestino se mantiene hasta el mismo momento de la emisión y publicitación televisiva de lo grabado, escenificándose con ello una situación que, en su origen, responde a una previa provocación del periodista interviniente, verdadero motor de la noticia”. Señala que en estas condiciones no puede afirmarse que mediase consentimiento expreso, válido y eficaz para la grabación ni para su posterior emisión en un medio televisivo: la autorización de acceso al domicilio se limita a ese concreto aspecto y no excluye, por tanto, la existencia de intromisión en la esfera de intimidad de la persona grabada.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son constitucionalmente válidos y avalan la corrección del juicio de ponderación los argumentos que utiliza el Tribunal de casación para sostener la irrelevancia pública del material obtenido y difundido y, por tanto, la ilegitimidad de la intromisión en la esfera de la intimidad. Dada la singular capacidad de intromisión de la “cámara oculta”, para legitimar una intromisión en el derecho a la intimidad no basta un interés público in genere, sino que sería necesaria una especial relevancia pública o general en la temática objeto de la noticia o en su tratamiento periodístico. En el presente caso la finalidad de denuncia de una práctica socialmente reprobable aparece debilitada y difuminada desde el momento en que el reportaje centra su atención en la actuación de la persona objeto de la grabación, personalizando la finalidad de denuncia que pierde así su vocación o carácter general, sin que del reportaje pudiera concluirse de forma terminante que la persona objeto de la grabación estuviera claramente llevando a cabo una práctica de intrusismo. A ello se añade que la información obtenida mediante la grabación tenía un escaso interés informativo y no guardaba correspondencia con la finalidad de denuncia que alega la parte recurrente. El Fiscal considera inaceptable por simplista la equiparación entre utilización de cámara oculta y periodismo de investigación, y estima que en el tratamiento de la noticia primaron “otros aspectos ajenos a ese fin más propios de una información superficial caracterizada por una cierta banalización y trivialización en la exposición de los temas noticiables o con una finalidad meramente polemista, más propia del mantenimiento de cuotas de pantalla que de la consecución de fines democráticamente relevantes como el de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la tesis de los dos recurrentes en amparo según la cual corresponde a los profesionales de la información decidir qué fuentes y qué medios técnicos pueden utilizarse, ya que conduciría a una situación de franca desprotección de los terceros. En los dos escritos presentados sostiene que tanto la idoneidad como la necesidad del medio o medios elegidos por dichos profesionales son susceptibles de control constitucional, más aun tratándose de una cámara oculta, señalando al respecto lo siguiente: “El carácter altamente injerente de la ‘cámara oculta’ hace que su utilización deba considerarse como un recurso técnico de última instancia (ultima ratio) sólo admisible cuando el registro periodístico no pueda obtenerse por otros medios y siempre que concurra un interés general altamente relevante o cualificado”, circunstancias que no concurrían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escritos el Fiscal estima que debe igualmente descartarse el motivo de amparo por vulneración del derecho a la libertad de información en su relación con el derecho a la propia imagen. La obtención de la imagen de la persona objeto de la grabación y su posterior cesión para su difusión en el programa televisivo se hizo sin contar con su consentimiento expreso en ambos momentos. Además, la ulterior difusión de las imágenes grabadas durante el programa televisivo permitió la plena identificación de la actora, al no utilizarse ninguna técnica que permitiera ocultar, distorsionar o difuminar su imagen hasta hacerla irreconocible. Más aún, durante la emisión del programa se utilizaron técnicas que atraían la atención de los televidentes hacia la imagen de la actora, colocándola en un plano principal o protagonista durante la emisión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dos diligencias de ordenación de fecha 29 de septiembre de 2011 de la Secretaría de Justicia de la Sala Primera de este Tribunal, se concedió un plazo común de diez días al Ministerio Fiscal y a las Procuradoras doña María Luisa Montero Correal y doña Gloria Rincón Mayoral, para que dentro de dicho término y de conformidad con el art. 83 LOTC, alegasen lo que estimaren pertinente en relación con la posible acumulación del recurso de amparo núm. 4829-2009 al tramitado con el núm. 4821-2009.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con fecha de 24 de octubre de 2011 el Fiscal ante el Tribunal Constitucional, en la representación que ostenta, declaró no oponerse a la acumulación del recurso de amparo núm. 4829-2009 al recurso núm. 4821-2009. Igualmente, mediante sendos escritos de 11 y 17 de octubre de 2011, respectivamente, la Procuradora de los Tribunales doña María Luisa Montero Correal y la Procuradora de los Tribunales doña Gloria Rincón Mayoral mostraron su conformidad con la acumulación al recurso de amparo núm. 4821-2009 del seguido bajo el núm. 4829-2009.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21 de noviembre de 2011, la Sala Primera de este Tribunal acordó la acumulación del recurso de amparo más moderno al más antiguo para su resolución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enero de 2012 se señaló para deliberación y fallo de la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las presentes demandas de amparo tienen por objeto la impugnación de la Sentencia de la Sala de lo Civil del Tribunal Supremo de 16 de enero de 2009, recaída en recurso de casación núm. 1171-2002. Los recurrentes aducen la vulneración por la Sala de lo Civil del Tribunal Supremo del art. 20.1 d) CE, en su concreción de derecho a comunicar libremente información veraz, en cuanto que la Sentencia recurrida desatendió los criterios de ponderación y proporcionalidad tradicionalmente admitidos por la jurisprudencia del Tribunal Constitucional y del Tribunal Europeo de Derechos Humanos como legitimadores del derecho a la libertad de información frente a los derechos a la intimidad y a la propia imagen. El Ministerio Fiscal interesa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planteada en los presentes recursos de amparo atañe, en sentido estricto, al conflicto entre la libertad de comunicar información veraz de un medio de comunicación y los derechos fundamentales a la intimidad personal y a la propia imagen de la esteticista/naturista que fue objeto de grabación mediante una cámara oculta en su propio gabinete profesional por quien se hizo pasar por cliente interesado en sus servicios. No entra aquí en cuestión su derecho al honor, que no ha sido declarado vulnerado por ninguna de las tres instancias judiciales que han conocido de la controversia, en cuanto que no se han vertido expresiones ofensivas o ultrajantes durante el programa televisivo. En suma, el objeto de los presentes recursos de amparo consiste en resolver si, en la ponderación de los mencionados derechos fundamentales en juego, la Sentencia de la Sala de lo Civil del Tribunal Supremo vulneró el art. 20.1 d) CE en su concreción de derecho a la libertad de información. Para ello debemos partir de nuestra doctrina reiterada, que hemos recordado recientemente en la STC 23/2010, de 27 de abril, FJ 2, según la cual, ante quejas de esta naturaleza, “la competencia de este Tribunal no se circunscribe a examinar la suficiencia y consistencia de la motivación de las resoluciones judiciales bajo el prisma del art. 24 CE”, sino que, por el contrario, en su condición de garante máximo de los derechos fundamentales, el Tribunal Constitucional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independientemente de que sí le vinculen los hechos declarados probados en la vía judicial [art. 44.1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análisis de la posible lesión del derecho a la libertad de información resulta oportuno recordar las líneas generales de la doctrina de este Tribunal dictada en procesos de amparo en los que nos ha correspondido realizar el necesario juicio de ponderación entre el citado derecho fundamental y los derechos fundamentales a la intimidad personal y a la propia imagen (art. 18.1 CE), o con uno de dichos derechos. Comenzaremos sintetizando la doctrina constitucional sobre el contenido de la libertad de información, por un lado, y de los derechos a la intimidad y a la propia imagen, por otro, para posteriormente exponer nuestro canon de enjuiciamiento sobre los eventuales conflictos entre dichos derechos. Canon que a continuación proyectaremos sobre este caso particular donde por primera vez debemos abordar las singularidades del uso de una cámara oculta de grabación videográfica como medio de intromisión en un reducto privado donde se registra de forma íntegra la imagen, voz y la forma de conducirse en una conversación mantenida en un espacio de la actividad profesional de la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señalado reiteradamente, la especial posición que ostenta el derecho a la libertad de información en nuestro Ordenamiento reside en que “no sólo se protege un interés individual sino que su tutela entraña el reconocimiento y garantía de la posibilidad de existencia de una opinión pública libre, indisolublemente unida al pluralismo político propio del Estado democrático” (STC 68/2008, de 23 de junio, FJ 3). Sin embargo, tal protección especial queda sometida a determinados límites tanto inmanentes como externos que este Tribunal ha ido perfilando progresivamente. Entre los límites inmanentes se encuentran los requisitos de veracidad y de interés general o relevancia pública de la información (SSTC 68/2008, FJ 3; y 129/2009, de 1 de junio, FJ 2); en ausencia de los dos mencionados requisitos decae el respaldo constitucional de la libertad de información. Por otro lado, como límites externos el derecho a la información se sitúan los derechos específicamente enunciados en el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pública de la información, este Tribunal ha subrayado que dado que la protección constitucional se ciñe a la transmisión de hechos “noticiables” por su importancia o relevancia social para contribuir a la formación de la opinión pública, tales hechos deben versar sobre aspectos conectados a la proyección pública de la persona a la que se refiere, o a las características del hecho en que esa persona se haya visto involucrada. De manera que, “sólo tras haber constatado la concurrencia de estas circunstancias resulta posible afirmar que la información de que se trate está especialmente protegida por ser susceptible de encuadrarse dentro del espacio que a una prensa libre debe ser asegurado en un sistema democrático” (STC 29/2009, de 26 de enero, FJ 4). Igualmente, el Tribunal Europeo de Derechos Humanos ha destacado que el factor decisivo en la ponderación entre la protección de la vida privada y la libertad de expresión estriba en la contribución que la información publicada realice a un debate de interés general, sin que la satisfacción de la curiosidad de una parte del público en relación con detalles de la vida privada de una persona pueda considerarse contribución a tal efecto (por todas, STEDH de 24 de junio de 2004, Von Hannover c. Alemania, §§ 65 y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ponderación debe efectuarse respecto a la afectación de los derechos fundamentales a la intimidad personal y a la propia imagen, derechos que la Sentencia impugnada estimó vulnerados por la entidad demandante. Ha de recordarse que los derechos fundamentales a la intimidad personal y a la propia imagen, al igual que el derecho al honor reconocido en el mismo precepto constitucional, tienen sustantividad y contenido propio en nuestro ordenamiento, de modo que ninguno queda subsumido en el otro (SSTC 81/2001, de 26 de marzo, FJ 2, y 156/2001, de 2 de julio, FJ 3). Por ello, una determinada forma de captación de la información, o de presentación de la misma, puede llegar a producir al mismo tiempo tanto una intromisión ilegítima en la intimidad como una vulneración del derecho a la propia imagen o, incluso, una lesión al derecho al honor, o bien puede afectar únicamente a alguno de ellos. Así, en el presente caso, la dimensión lesiva de la conducta se proyecta sobre el derecho a la intimidad y el derecho a la propia imagen, sin que se ponga en cuestión la posible afección del derecho al honor, porque lo que cobra relieve aquí no es el contenido estricto de la información obtenida, sino cómo se ha recogido y registrado mediante videograbación subrepticia, y el lugar donde se ha llevado a cabo, el reducto reservado de una consulta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intimidad, este Tribunal ha reiterado que se funda en la necesidad de garantizar “la existencia de un ámbito propio y reservado frente a la acción y conocimiento de los demás, necesario, según las pautas de nuestra cultura, para mantener una calidad mínima de la vida humana, que puede ceder ante la prevalencia de otros derechos, como el derecho a la información cuando se refiera a hechos con relevancia pública, en el sentido de noticiables, y a que dicha información sea veraz” (STC 77/2009, de 23 de marzo, FJ 2). Con unos u otros términos, nuestra doctrina constitucional insiste en que el derecho a la intimidad atribuye a su titular “el poder de resguardar ese ámbito reservado por el individuo para sí y su familia de una publicidad no querida” (entre otras, SSTC 231/1988, de 2 de diciembre, FJ 3; 236/2007, de 7 de noviembre, FJ 11; y 60/2010, de 7 de octubre, FJ 8), y, en consecuencia, “el poder jurídico de imponer a terceros el deber de abstenerse de toda intromisión en la esfera íntima y la prohibición de hacer uso de lo así conocido” (entre otras, SSTC196/2004, de 15 de noviembre, FJ 2; 206/2007, de 24 de septiembre, FJ 5; y 70/2009, de 23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intimidad protegida por el art. 18.1 CE no se reduce necesariamente a la que se desarrolla en un ámbito doméstico o privado. El Tribunal Europeo de Derechos Humanos ha señalado que sería muy restrictivo limitar la noción de vida privada protegida por el art. 8.1 del Convenio europeo para la protección de los derechos humanos y de las libertades fundamentales a un “círculo íntimo” en el que el individuo puede conducir su vida personal a su manera y excluir plenamente el mundo exterior no incluido en este círculo. No puede desconocerse que también en otros ámbitos, y en particular en el relacionado con el trabajo o la profesión, se desarrollan relaciones interpersonales, vínculos o actuaciones que pueden constituir manifestación de la vida privada (STEDH de 16 de diciembre de 1992, Niemietz c. Alemania, § 29; doctrina reiterada en las SSTEDH de 4 de mayo de 2000, Rotaru c. Rumania, § 43, y de 27 de julio de 2004, Sidabras y Džiautas c. Lituania, § 44). La protección de la vida privada en el ámbito del Convenio Europeo de Derechos Humanos, en suma, se extiende más allá del círculo familiar privado y puede alcanzar también a otros ámbitos de interacción social (SSTEDH de 16 de diciembre de 1992, Niemietz c. Alemania, § 29; de 22 de febrero de 1994, Burghartz c. Suiza, § 24; y de 24 de junio de 2004, Von Hannover c. Alemania, §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criterio a tener en cuenta para determinar cuándo nos encontramos ante manifestaciones de la vida privada protegible frente a intromisiones ilegítimas es el de las expectativas razonables que la propia persona, o cualquier otra en su lugar en esa circunstancia, pueda tener de encontrarse al resguardo de la observación o del escrutinio ajeno. Así por ejemplo cuando se encuentra en un paraje inaccesible o en un lugar solitario debido a la hora del día, puede conducirse con plena espontaneidad en la confianza fundada de la ausencia de observadores. Por el contrario, no pueden abrigarse expectativas razonables al respecto cuando de forma intencional, o al menos de forma consciente, se participa en actividades que por las circunstancias que las rodean, claramente pueden ser objeto de registro o de información pública (SSTEDH de 25 de septiembre de 2001, P.G. y J.H. c. Reino Unido, § 57, y de 28 de enero de 2003, Peck c. Reino Unido,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de expectativa razonable de no ser escuchado u observado por terceras personas, resulta patente que una conversación mantenida en un lugar específicamente ordenado a asegurar la discreción de lo hablado, como ocurre por ejemplo en el despacho donde se realizan las consultas profesionales, pertenece al ámbito de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otro derecho fundamental en conflicto, el derecho a la propia imagen queda cifrado, conforme a nuestra doctrina, en el “derecho a determinar la información gráfica generada por los rasgos físicos personales de su titular que puede tener difusión pública. Su ámbito de protección comprende, en esencia, la facultad de poder impedir la obtención, reproducción o publicación de la propia imagen por parte de un tercero no autorizado, sea cual sea la finalidad perseguida por quien la capta o difunde”, y, por lo tanto, abarca “la defensa frente a los usos no consentidos de la representación pública de la persona que no encuentren amparo en ningún otro derecho fundamental, muy destacadamente frente a la utilización de la imagen con fines puramente lucrativos” (STC 23/2010,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habíamos señalado en nuestra STC 117/1994, FJ 3, que “[e]l derecho a la propia imagen, reconocido por el art. 18.1 de la Constitución al par de los de honor y la intimidad personal, forma parte de los derechos de la personalidad y como tal garantiza el ámbito de libertad de una persona respecto de sus atributos más característicos, propios e inmediatos como son la imagen física, la voz o el nombre, cualidades definitorias del ser propio y atribuidas como posesión inherente e irreductible a toda persona. En la medida en que la libertad de ésta se manifiesta en el mundo físico por medio de la actuación de su cuerpo y las cualidades del mismo, es evidente que con la protección de la imagen se salvaguarda el ámbito de la intimidad y, al tiempo, el poder de decisión sobre los fines a los que hayan de aplicarse las manifestaciones de la persona a través de su imagen, su identidad o su voz.”. En el caso de una grabación oculta como la que aquí nos ocupa, la captación no sólo de la imagen sino también de la voz intensifica la vulneración del derecho a la propia imagen mediante la captación no consentida de específicos rasgos distintivos de la persona que hacen más fácil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canon de enjuiciamiento de las eventuales colisiones entre la libertad de información y los derechos a la intimidad y a la propia imagen, recordemos que estos dos últimos constituyen unos límites externos al correcto ejercicio de la libertad de información. Así, en la reciente STC 23/2010, de 27 de abril, FJ 3, hemos reiterado que “el propio apartado 4 del art. 20 CE dispone que todas las libertades reconocidas en el precepto tienen su límite en el derecho al honor, a la intimidad, a la propia imagen y a la protección de la juventud y de la infancia, que cumplen así lo que hemos denominado ‘función limitadora’ en relación con dichas libertades”. Asimismo hemos señalado que “el derecho a comunicar y a emitir libremente información veraz no otorga a sus titulares un poder ilimitado sobre cualquier ámbito de la realidad, sino que, al venir reconocido como medio de formación de la opinión pública solamente puede legitimar las intromisiones en otros derechos fundamentales que guarden congruencia con la finalidad expresada, careciendo de efecto legitimador cuando se ejercite de modo desmesurado y exorbitante al fin en atención al cual la Constitución le atribuye especial protección” (STC 185/2002, de 14 de octubre, FJ 3), o que “en aquellos casos en los que, a pesar de producirse una intromisión en la intimidad, tal intromisión se revela como necesaria para lograr un fin constitucionalmente legítimo, proporcionada para alcanzarlo y se lleve a cabo utilizando los medios necesarios para procurar una mínima afectación del ámbito garantizado por este derecho, no podrá considerarse ilegítima” (STC 156/2001, de 2 de julio, FJ 4). En definitiva, la intromisión en los derechos fundamentales de terceros resultante del ejercicio de la libertad de información sólo será legítima en la medida en que la afectación de dichos derechos resulte adecuada, necesaria y proporcionada para la realización constitucional del derecho a la libertad de información. Por lo tanto, allí donde quepa acceder a la información pretendida sin necesidad de colisionar con los derechos referidos, queda deslegitimada, por desorbitada o desproporcionada, aquella actividad informativa innecesariamente invasora de la intimidad o la imagen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presenta unos contornos o perfiles singulares derivados de la especial capacidad intrusiva del medio específico utilizado para obtener y dejar registradas las imágenes y la voz de una persona. Por un lado, como razona en sus alegaciones el Ministerio Fiscal, el carácter oculto que caracteriza a la técnica de investigación periodística llamada “cámara oculta” impide que la persona que está siendo grabada pueda ejercer su legítimo poder de exclusión frente a dicha grabación, oponiéndose a su realización y posterior publicación, pues el contexto secreto y clandestino se mantiene hasta el mismo momento de la emisión y difusión televisiva de lo grabado, escenificándose con ello una situación o una conversación que, en su origen, responde a una previa provocación del periodista interviniente, verdadero motor de la noticia que luego se pretende difundir. La ausencia de conocimiento y, por tanto, de consentimiento de la persona fotografiada respecto a la intromisión en su vida privada es un factor decisivo en la necesaria ponderación de los derechos en conflicto, como subraya el Tribunal Europeo de Derechos Humanos (SSTEDH de 24 de junio de 2004, Von Hannover c. Alemania, § 68, y de 10 de mayo de 2011, Mosley c. Reino Unido, §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evidente que la utilización de un dispositivo oculto de captación de la voz y la imagen se basa en un ardid o engaño que el periodista despliega simulando una identidad oportuna según el contexto, para poder acceder a un ámbito reservado de la persona afectada con la finalidad de grabar su comportamiento o actuación desinhibida, provocar sus comentarios y reacciones así como registrar subrepticiamente declaraciones sobre hechos o personas, que no es seguro que hubiera podido lograr si se hubiera presentado con su verdadera identidad y con sus auténticas intenciones.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frecuente de las grabaciones de imágenes y sonido obtenidas mediante la utilización de cámaras ocultas es su difusión no consentida en el medio televisivo cuya capacidad de incidencia en la expansión de lo publicado es muy superior al de la prensa escrita (en este sentido, la STEDH de 23 de septiembre de 1994, Jersild c. Dinamarca, § 31). No hay duda de que ello hace necesario reforzar la vigilancia en la protección de la vida privada para luchar contra los peligros derivados de un uso invasivo de las nuevas tecnologías de la comunicación, las cuales, entre otras cosas, facilitan la toma sistemática de imágenes sin que la persona afectada pueda percatarse de ello, así como su difusión a amplios segmentos del público, como subrayaba el Tribunal Europeo de Derechos Humanos en relación a un caso de captación fotográfica a cientos de metros de distancia (STEDH de 24 de junio de 2004, Von Hannover c. Alemania, §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técnicas periodísticas que puedan utilizarse para la presentación de una información, es cierto, como indica el recurrente en amparo, que el Tribunal Europeo de Derechos Humanos reconoce a los profesionales correspondientes la libertad de elegir los métodos o técnicas que consideren más pertinentes para la transmisión informativa, que debe ser acorde a las exigencias de objetividad y neutralidad (STEDH de 23 de septiembre de 1994, Jersild c. Dinamarca, § 34). Pero asimismo dicho Tribunal ha subrayado que en la elección de los medios referidos, la libertad reconocida a los periodistas no está exenta de límites, y que en ningún caso pueden considerarse legítimas aquellas técnicas que invaden derechos protegidos, ni aquellos métodos que vulneren las exigencias de la ética periodística en cuanto a la solvencia y objetividad del contenido informativo (SSTEDH de 18 de enero de 2011, MGN Limited c. Reino Unido, § 141; y de 10 de mayo de 2011, Mosley c. Reino Unido, §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las reglas descritas en los fundamentos jurídicos anteriores al enjuiciamiento constitucional del presente asunto exige tomar en consideración en primer lugar, atendiendo a los límites inmanentes, las circunstancias específicas en las que se ha ejercitado la libertad de comunicación, ponderando a continuación adecuadamente la posible afectación de otros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recurrentes han alegado con insistencia la veracidad del contenido del reportaje, tanto en la vía judicial como en apoyo de su pretensión de impugnación en amparo de la Sentencia del Tribunal Supremo. Este argumento no puede acogerse, no sólo porque en la vía judicial previa no se ha controvertido en ningún momento la veracidad de la información divulgada alegando, por ejemplo, manipulación o alteración de los registros de imagen y sonido obtenidos, sino fundamentalmente porque este Tribunal viene reiterando que, cuando se afecta al derecho a la intimidad, lo determinante para resolver el conflicto de derechos es la relevancia pública de la información y no la veracidad del contenido de la información divulgada, en cuanto que, a diferencia de lo que sucede en las intromisiones en el honor, la veracidad no es paliativo sino presupuesto de la lesión de la intimidad (por todas, STC 185/2002, de 14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interés general del reportaje que alegan los recurrentes, resulta procedente señalar que, aun cuando la información hubiera sido de relevancia pública, los términos en que se obtuvo y registró, mediante el uso de una cámara oculta, constituyen en todo caso una ilegítima intromisión en los derechos fundamentales a la intimidad personal y a la propia imagen. En cuanto a la vulneración de la intimidad, hay que rechazar en primer lugar que tanto el carácter accesible al público de la parte de la vivienda dedicada a consulta por la esteticista/naturista, como la aparente relación profesional entablada entre dicha persona y la periodista que se hizo pasar por una paciente, tengan la capacidad de situar la actuación de la recurrente extramuros del ámbito del derecho a la intimidad de aquélla, constitucionalmente protegido también en relaciones de naturaleza profesional. La Sentencia del Tribunal Supremo impugnada señala correctamente que la relación entre la periodista y la esteticista/naturista se desarrolló en un ámbito indudablemente privado. No existiendo consentimiento expreso, válido y eficaz prestado por la titular del derecho afectado, es forzoso concluir que hubo una intromisión ilegítima en el derecho fundamental a la intimidad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derecho a la propia imagen, debemos alcanzar idéntica conclusión. En efecto, como apreció correctamente la Sentencia de la Sala de lo Civil del Tribunal Supremo, la persona grabada subrepticiamente fue privada del derecho a decidir, para consentirla o para impedirla, sobre la reproducción de la representación de su aspecto físico y de su voz, determinantes de su plena identificación como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valora correctamente los datos que concurren en la presente situación, y concluye con la negación de la pretendida prevalencia de la libertad de información. Conclusión constitucionalmente adecuada, no sólo porque el método utilizado para obtener la captación intrusiva —la llamada cámara oculta– en absoluto fuese necesario ni adecuado para el objetivo de la averiguación de la actividad desarrollada, para lo que hubiera bastado con realizar entrevistas a sus clientes, sino, sobre todo, y en todo caso, porque, tuviese o no relevancia pública lo investigado por el periodista, lo que está constitucionalmente prohibido es justamente la utilización del método mismo (cámara oculta) por las razones que antes hemos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concluye que la restricción impuesta por el Tribunal Supremo en su Sentencia a las entidades recurrentes, mediante la correspondiente condena, está constitucionalmente justificada.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Canal Mundo Producciones Audiovisuales, S.A. (núm. 4821-2009) y por Televisión Autonómica Valenciana, S.A. (núm. 4829-2009).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