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 de marzo de 2012</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El Pleno del Tribunal Constitucional, compuesto por don Pascual Sala Sánchez, Presidente, don Eugeni Gay Montalvo,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735EC7" w:rsidR="00F31FAF" w:rsidRDefault="00356547">
      <w:pPr>
        <w:rPr/>
      </w:pPr>
      <w:r w:rsidRPr="&lt;w:rPr xmlns:w=&quot;http://schemas.openxmlformats.org/wordprocessingml/2006/main&quot;&gt;&lt;w:szCs w:val=&quot;24&quot; /&gt;&lt;/w:rPr&gt;">
        <w:rPr/>
        <w:t xml:space="preserve"/>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la cuestión de inconstitucionalidad núm. 5277-2011, planteada por el Juzgado de lo Contencioso-Administrativo núm. 2 de Alicante en relación con el art. 73.3, párrafo tercero, de la Ley 7/1985, de 2 de abril, reguladora de las bases de régimen local. Han intervenido el Abogado del Estado, en la representación que ostenta y el Fiscal General del Estado. Ha sido Ponente la Magistrada doña Elisa Pérez Vera, quien expresa el parecer del Tribunal.</w:t>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septiembre de 2011 tuvo entrada en el Registro General de este Tribunal escrito del Juzgado de lo Contencioso-Administrativo núm. 2 de Alicante, al que se acompaña, junto con el testimonio del procedimiento ordinario núm. 412-2010, tramitado ante dicho Juzgado, el Auto de 19 de julio de 2011, por el que se acuerda plantear cuestión de inconstitucionalidad en relación con el art. 73.3, párrafo tercero, de la Ley 7/1985, de 2 de abril, reguladora de las bases de régimen local (en adelante, LBRL), por posible vulneración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cuestión, según resulta del Auto de planteamiento y de la documentación adjunta,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sesiones de 2 y 26 de octubre de 2009, el Pleno del Ayuntamiento de Benidorm adoptó, entre otros acuerdos, los relativos al nombramiento de representantes de la corporación en órganos colegiados competencia del Pleno, a las retribuciones e indemnizaciones a percibir por los miembros de la corporación, a la creación y composición de las comisiones informativas permanentes, y al nombramiento de los Tenientes de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Previa solicitud de información sobre los expresados acuerdos, el Conseller de Solidaridad y Ciudadanía de la Generalitat Valenciana requirió con fecha 8 de febrero de 2010 al Ayuntamiento de Benidorm para que en el plazo de un mes modificara, anulara o revocara los referidos acuerdos del Pleno del Ayuntamiento, en particular, para que procediera a la disolución del Grupo municipal Socialista así como a la anulación de todos los derechos políticos y económicos de los miembros no adscritos.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no ser atendido el expresado requerimiento, el Abogado de la Generalitat Valenciana interpuso con fecha 6 de mayo de 2010 recurso contencioso-administrativo contra dichos acuerdos. En la demanda se argumentó que en los mismos se nombra para ocupar determinados cargos municipales a una serie de concejales que se dicen integrados en el Grupo municipal Socialista cuando, siempre conforme a la demanda, dichos concejales, que apoyaron la previa moción de censura, habrían abandonado la formación política en la que fueron elegidos y deberían ser considerados concejales no adscritos en razón de que en la Comisión de seguimiento del pacto antitransfuguismo (acuerdo sobre el código de conducta política en relación con el transfuguismo de las corporaciones locales, firmado el 7 de julio de 1998, renovado por nuevos acuerdos de 26 de septiembre de 2000 y de 23 de mayo de 2006) se recogió la denuncia del Partido Popular y del Partido Socialista Obrero Español frente a la aprobación de una moción de censura en el Ayuntamiento de Benidorm “en la que sale elegido un alcalde ex concejal del PSOE con los votos a favor de 12 ex concejales del PSOE y de un ex concejal del PP”. Como se ve, señala la demanda, esa misma situación de concejal no adscrito se predica de J.B.P., concejal que abandonó el grupo popular en el que fue elegido y que, posteriormente, también apoyó la referida moción de censura.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la supuesta vulneración del párrafo tercero del art. 73.3 LBRL, precepto que, al disponer que los concejales no adscritos no pueden tener derechos políticos y económicos superiores a los ostentados en el grupo al que pertenecían, sería aquí de aplicación. En tal sentido la demanda señala que, como consecuencia de las modificaciones en la organización municipal introducidas por los dos acuerdos impugnados, los concejales integrados en el denominado Grupo municipal Socialista y el concejal no adscrito disfrutan de derechos políticos y económicos superiores a los que les corresponderían si realmente fueran considerados no adscritos.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Personados en el proceso diversos concejales del Ayuntamiento de Benidorm, y tras el desarrollo de los trámites de prueba y conclusiones, estando el recurso pendiente de dictar sentencia, el órgano judicial, en providencia de 18 de mayo de 2011, acordó dar traslado a las partes personadas y al Ministerio Fiscal, por plazo de diez días, a fin de que formulasen alegaciones sobre la pertinencia de plantear la cuestión de inconstitucionalidad referida al párrafo tercero del art. 73.3 LBRL en cuanto el mismo “podría contravenir el art. 23.1 CE, al limitar el acceso del concejal no adscrito a un nuevo proyecto de gobierno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Valenciana manifestó su parecer contrario al planteamiento de la cuestión por entender que el precepto no afectaba al núcleo esencial del derecho reconocido en el art. 23 CE. La representación procesal del Ayuntamiento de Benidorm y las de dos concejales de dicho Ayuntamiento, integrados en el denominado Grupo municipal Socialista y personados en el proceso, señalaron que no procedía el planteamiento de la cuestión dado que el precepto no era aplicable al caso si bien, subsidiariamente, expresaron su parecer favorable al planteamiento en el caso de que el órgano judicial considerase que el precepto era de aplicación. Por el contrario, la representación procesal de otros dos concejales del Ayuntamiento estimó que el precepto que se cuestiona no vulnera el art. 23 CE. Finalmente, el Ministerio Fiscal consideró que el art. 73.3 LBRL no era contrario al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Evacuado el trámite de audiencia, el Juzgado de lo Contencioso-Administrativo núm. 2 de Alicante dictó Auto el 19 de julio de 2011, mediante el que acordó plantear la presente cuestión de inconstitucionalidad en relación con el art. 73.3, párrafo tercero, de la Ley 7/1985, de 2 de abril, reguladora de las bases de régimen local, por vulneración del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exponer los antecedentes del caso y reproducir el contenido del art. 35.2 de la Ley Orgánica del Tribunal Constitucional (LOTC), señala el Auto de 19 de julio de 2011 que la norma con rango de ley cuya constitucionalidad cuestiona es el art. 73.3, párrafo tercero, LBRL y el precepto constitucional que se supone infringido el art. 23 CE, entendiendo que la decisión del recurso interpuesto depende de la adecuada interpretación de los preceptos citados “al ser de directa aplicación el art. 73.3, párrafo tercero de la Ley 7/1985”. Destaca seguidamente que la Generalitat Valenciana fundamenta su recurso en que los integrantes del Grupo municipal Socialista y el concejal no adscrito “abandonaron sus grupos de procedencia y constituyeron un grupo municipal con distinta denominación a la del grupo político que constituyó la formación electoral por la que fueron elegidos, con la finalidad de evitar la consideración de concejales no adscritos a grupo municipal alguno”. Según el Auto la Administración demandante “concluye que el Ayuntamiento de Benidorm incurre en un claro fraude de ley, consistente en la creación de un grupo municipal con denominación distinta a la originaria para eludir la aplicación de las disposiciones que afectan a los miembros no adscritos, con infracción de lo dispuesto en el art. 73.3 de la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hace referencia a la doctrina constitucional en relación con el art. 23 CE, con detallada cita de la STC 10/1983, de 21 de febrero, señalando que el art. 23.2 CE no solamente consagra el derecho de acceso al cargo sino el de permanecer en el mismo y ejercerlo, centrándose la cuestión de inconstitucionalidad en este último aspecto, relativo al derecho al ejercicio del cargo de los concejales que integran el Grupo municipal Socialista y del concejal no adscrito. Con cita de las SSTC 38/1999, 107/2001 y 141/2007 señala que para apreciar la existencia de una vulneración de los derechos fundamentales de los representantes políticos contenidos en el art. 23.2 CE es necesario que se haya producido una restricción ilegítima de los derechos y facultades que les reconocen en cada caso las normas que resulten de aplicación, si bien solamente poseen relevancia constitucional los derechos o facultades atribuidos al representante que pertenezcan al núcleo de su función representativa.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resalta en este sentido la inconcreción del estatuto de miembro no adscrito en tanto que, como representante de la totalidad de los ciudadanos de su circunscripción, se le impide ocupar determinados cargos cuyas funciones inciden directamente sobre el núcleo de su función representativa. En el caso del concejal no adscrito indica que se la atribuye la función de Primer Teniente de Alcalde, asumiendo un derecho político superior al que le correspondía en su grupo de pertenencia. Del mismo modo, afirma el Auto, “los integrantes del Grupo Municipal Socialista, todos ellos ex concejales del PSOE, no podrían ostentar derechos económicos y políticos superiores a los que tenían en el grupo de procedencia, es decir, no podían percibir retribuciones superiores a las que tenían con anterioridad, pese a haber asumido el gobierno municipal ... siendo preciso además determinar si es admisible que los integrantes del Grupo municipal socialista constituyan dicho grupo, sin asumir la condición de miembro no adscrito, en los términos establecidos en el art.73.3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Hace referencia seguidamente a la postura del Ministerio Fiscal, que se opuso al planteamiento de la cuestión invocando el contenido de la STC 169/2009, señalando que el supuesto analizado en la misma difiere del que nos ocupa, en el que la esencia de su duda de constitucionalidad se materializa en si el diferente trato que el art.73.3 LBRL dispensa al concejal no adscrito y a los integrantes del Grupo municipal Socialista “está justificado en la diferente situación en la que se encuentran los mismos, al haber abandonado los grupos políticos constituidos por la formación en la que concurrieron a las elecciones del municipio de Benidorm”.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1o expuesto, el órgano judicial estima que procede plantear cuestión de inconstitucionalidad en relación con el art. 73.3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7 de noviembre de 2011, el Pleno de este Tribunal acordó admitir a trámite la cuestión de inconstitucionalidad, reservando para sí el conocimiento de la misma, y dar traslado de las actuaciones recibidas, conforme al art. 37.3 LOTC, al Congreso de los Diputados y al Senado, por conducto de sus Presidentes, al Gobierno, por conducto del Ministro de Justicia, y al Fiscal General del Estado, al objeto de que en el plazo de quince días pudieran personarse y formular las alegaciones que estimasen convenientes. En la misma providencia se acordó publicar la incoación de la cuestión de inconstitucionalidad en el “Boletín Oficial del Estado”, publicación que tuvo lugar el 19 de noviembre de 2011 (“BOE” núm. 279).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que tuvo entrada en este Tribunal el 18 de noviembre de 2011, el Presidente del Senado comunicó que la Mesa de la Cámara había acordado personarse en el presente proceso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en escrito registrado en este Tribunal el 29 de noviembre de 2011, comunicó que la Mesa de la Cámara había acordado la personación en dicho procedimiento y el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personó ante este Tribunal, en nombre del Gobierno, a través de escrito presentado el 1 de diciembre de 2011, en el que pidió la desestimación de la cuestión de inconstitucionalidad. Comienza señalando la existencia de doctrina constitucional sobrevenida, pues a la STC 169/2009, de 9 de julio, hay que añadir la STC 20/2011, de 14 de marzo, cuya doctrina reiteran otras muchas posteriores. Y con apoyo en esa doctrina (principalmente la contenida en la STC 169/2009, FJ 4), alega que mediante el primer inciso del párrafo cuestionado el legislador persigue “la satisfacción de un interés legítimo”. La regla de cuya constitucionalidad duda el Juez cuestionante recoge una medida anti-tránsfugas, cuya finalidad es que, respetando el núcleo de sus funciones representativas, el tránsfuga no se beneficie de un modo de proceder que claramente perturba el buen y estable gobierno de las Administraciones locales, y —al menos en un porcentaje significativo de casos— va asociado a conductas impropias y, en ocasiones, delictivas.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pone de relieve que no hay armonía entre los argumentos del Auto de planteamiento de la cuestión. Así, la “inconcreción” o “indefinición” del estatuto de los concejales no adscritos conlleva un reproche contra el precepto cuestionado que puede constituir tanto una crítica por mala técnica legislativa (aspecto ajeno al control de constitucionalidad) como una censura por infracción del principio de seguridad jurídica, ex art. 9.3 CE, precepto no invocado en el Auto de planteamiento. Sin embargo, el propio órgano desmiente el reproche, pues, al anticipar las consecuencias de aplicar el párrafo tercero del art. 73.3 LBRL, demuestra que no plantea dificultades especiales de interpretación ni de aplicación. Y en cuanto a la descripción de la duda del fundamento 5, entiende el Abogado del Estado que no expresa ningún fundamento de inconstitucionalidad, al limitarse a describir el contenido del precepto cuestionado, cuya razón se encuentra en la finalidad del legislador de no dar alicientes al transfuguismo en beneficio del buen gobierno local y de la honradez política, como valor que debe protegerse en la relación entre representantes y representados, siendo el logro de una “más correcta y adecuada articulación” de la representación legítima un fin constitucionalmente legítimo y hasta loable (por todas, STC 163/2011,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analiza a continuación si es cierto que la posibilidad de optar a un nombramiento libre del Alcalde (miembro de la Junta de gobierno local, teniente de Alcalde), y la percepción de una retribución enlazada a un cargo ejecutivo con dedicación exclusiva, deben reputarse integrados en el núcleo de la función representativa de un concejal. Tras referirse a la naturaleza y funciones de los distintos órganos y cargos municipales, afirma que la respuesta, a su juicio, debe ser negativa, tal y como se desprende de las SSTC 169/2009, FJ 3, y 20/2011, FJ 4, que señalan que el núcleo esencial de las funciones representativas “se corresponde con aquellas funciones que sólo pueden ejercer los titulares del cargo público por ser la expresión del carácter representativo de la institución”. Para el Abogado del Estado el núcleo de las funciones representativas para las que los concejales han sido elegidos se condensa en participar en la actividad de control del ejecutivo o gobierno municipal, deliberar y votar en el Pleno y en obtener la información precisa para ejercer las anteriores funciones. Por ello afirma que, ni por el título de acceso al cargo (nombramiento y no elección), ni por el contenido de sus funciones, puede afirmarse que la posibilidad de optar a ser nombrado miembro de la Junta de gobierno local o teniente de Alcalde con delegación en algún ramo de la administración municipal se integre en el núcleo esencial de la función representativa de los concejales.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por escrito registrado el 12 de diciembre de 2011, pidió que se dictase Sentencia desestimando la cuestión de inconstitucionalidad. Tras una extensa exposición de las circunstancias del caso, se refiere en primer lugar a la concurrencia de los presupuestos procesales, realizando algunas precisiones. Así, de un lado, señala el defecto en la referencia al art. 23.1 CE como precepto vulnerado que figura en la providencia de audiencia y que se mantiene también en la parte dispositiva del Auto de planteamiento, a pesar de que afecta a la totalidad del art. 23 CE, según resulta del contenido sustancial de la fundamentación del Auto. De otro lado, indica que la parte dispositiva no incorpora directamente la norma jurídica objeto de la cuestión, sino que hay que acudir a la fundamentación jurídica para concretarla, y, por último, que la explicación en la providencia de audiencia sobre la eventual contradicción se realiza de forma genérica, afirmando que se podría contravenir el art. 23.1 CE “al limitar el acceso del Concejal no adscrito a un nuevo proyecto de gobierno municipal”, mientras que la del Auto de planteamiento se centra en un aspecto más específico. No obstante, entiende el Fiscal que las alegaciones de las partes y del Ministerio público se refirieron a la cuestión efectivamente planteada por el órgano judicial, tanto en cuanto al precepto cuestionado como en relación al precepto constitucional vulnerado que no se limita al apartado 1 del art. 23 CE, sino a éste en su conjunto. Por tanto, la duda resultó suficientemente identificada y no se impidió a los intervinientes conocer y responder a los términos de la cuestión planteada. Estaríamos pues ante una mera indeterminación relativa no provocadora de la inadmisión, por lo que, con una interpretación flexible de los requisitos de planteamiento de la cuestión, entiende el Fiscal General del Estado que puede tenerse por válida la concurrencia de los presupuestos procesales 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y, partiendo de la doctrina sentada en diversas Sentencias de este Tribunal, en especial la STC 231/1998, de 1 de diciembre, expone que el derecho contemplado en el art. 23 CE incorpora el principio de igualdad, y que es un derecho de configuración legal. Pero añade, recordando la STC 298/2006, de 23 de octubre, que la remisión del constituyente a “los requisitos que señalen las leyes” no significa que el contenido constitucionalmente garantizado de este derecho sea el que en cada caso resulte de la legislación vigente; el derecho de acceso a las funciones y cargos públicos representativos se impone también, en su contenido esencial, al legislador, de tal manera que éste no podrá imponer restricciones a la permanencia en los mismos que, más allá de los imperativos del principio de igualdad, y desde la perspectiva constitucional, no se ordenen a un fin legítimo. A continuación señala que según doctrina del Tribunal Constitucional sólo tienen relevancia constitucional los derechos y deberes que afectan al núcleo de la función representativa y cita en este sentido la STC 39/2008, de 10 de marzo, y la STEDH de 2 de marzo de 2010 (Sección Tercera) en relación con el art. 3 del Protocolo núm. 1, adicional al Convenio Europeo de Derechos Humanos. Y, en el mismo sentido, cita la STC 169/2009, de 9 de julio, que, con relación a los miembros de una corporación provincial, destaca aspectos que forman parte del núcleo fundamental de la función representativa, como el participar en la actividad de control del gobierno provincial, participar en las deliberaciones del Pleno de la corporación, votar en los asuntos sometidos a votación en este órgano y obtener la información necesaria para poder ejercer las funciones anteriores, criterio que resulta mantenido en la STC 20/2011, de 14 de marzo, FJ 4. Asimismo, con cita de esta misma Sentencia, se refiere el Fiscal a las comisiones informativas, destacando su trascendencia, a pesar de que su función no sea la de adoptar acuerdos, por lo que “la decisión de permitir a los concejales no adscritos la asistencia y la participación en las deliberaciones de las comisiones informativas, pero no el derecho a votar, entorpece y dificulta la posterior defensa de sus posiciones políticas”, por lo que incide “en el núcleo de las funciones de representación que son propias del cargo de concejal”, lo que no implica que su voto compute igual que el de los miembros adscritos, porque disfrutarían de una posición de sobrerrepresentación. Por último, destaca el Fiscal la función de los partidos políticos como instrumentos fundamentales de participación política de los ciudadanos (STC 31/1993, de 26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citada, el Fiscal General del Estado realiza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origen del precepto impugnado, el párrafo tercero del art. 73.3 LBRL, se remonta al acuerdo sobre un código de conducta política en relación con el transfuguismo en las corporaciones locales, que se firmó por la práctica totalidad de los partidos políticos con fecha 7 de julio de 1998, y que fue renovado por nuevos acuerdos de 26 de septiembre de 2000 y 23 de mayo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precepto cuestionado establece un marco regulador y restrictivo de carácter general, pero la mera previsión del mantenimiento —no superación— del contenido político y económico de las funciones de concejal no comporta necesariamente una limitación vulneradora del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doctrina constitucional sólo admite la posible vulneración del derecho cuando afecta al núcleo esencial del mandato representativo, de forma que éste no resulte desnaturalizado, y, así, admite la posibilidad de una regulación diferenciada para los miembros no adscritos. El propio art. 73.3 LBRL contempla algunos supuestos limitativos no impugnados como son: el párrafo primero, en cuanto prohíbe la integración de los no adscritos en un grupo político; y, el apartado 6, en cuanto que, en caso de abandono de un grupo político por parte de la mayoría de sus componentes, los que permanezcan siguen manteniendo las prerrogativas que corresponden al grupo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restricciones responden a un fin legítimo y son adecuadas y proporcionadas. La actitud del tránsfuga, que, aun ejerciendo su derecho individual, altera el equilibrio de fuerzas derivado del grupo político con el que había concurrido a las elecciones, otorgando con su conducta la mayoría a otro grupo hasta ese momento minoritario, altera, aun en un segundo nivel, la representación democrática, pues la votación a un determinado partido político se efectúa no sólo por la calidad de las personas que lo integran en las listas electorales, sino por la perspectiva política e ideológica que representan. Por tanto, la regulación cuestionada no vulnera el principio de proporcionalidad ni establece una limitación de las funciones representativas de los concejales no adscritos en términos contrarios al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este caso, algunas de las modificaciones del status del concejal —como la dedicación exclusiva y su percepción económica, o la imposibilidad de constituir grupos políticos— están expresamente excluidas del contenido fundamental representativo. Otras están expresamente respetadas y forman parte del contenido esencial, como la integración en las comisiones informativas, pero con respeto del principio de proporcionalidad. Y, finalmente, los aspectos a que se refiere concretamente el Auto de planteamiento —pertenencia a la Junta de gobierno local, designación como teniente de Alcalde y la asunción de funciones por delegación— no están incluidas en el núcleo básico del mandato representativo y constituyen aspectos de la organización y estructura consistorial dentro de las potestades, no ilimitadas, del Alcalde. En suma, la situación de desventaja que propugna el Auto de planteamiento no se produce, porque se trata de restricciones que no afectan al núcleo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Del marco general del art. 73.3, párrafo tercero, LBRL, no se deriva directamente una restricción que afecte al núcleo esencial de la función representativa, ni impone un contenido excluyente de cualquier decisión necesaria para el funcionamiento del Ayuntamiento, sino que somete el desempeño del cargo a ciertas condiciones. Cuestión distinta será si la aplicación concreta del precepto cuestionado puede constituir algún tipo de vulneración constitucional por afectar al contenido esencial del art. 23 CE. Porque, en definitiva, la cuestión planteada no está tanto en la posible confrontación del párrafo tercero del art. 73.3 LBRL con el art. 23 CE, sino en la aplicación concreta de aquél, lo que no es materia del presente procedimiento, ya que se trata de interpretar si los actos de aplicación concreta pueden o no lesionar un derecho fundamental bajo la cobertura del art. 73.3 LBRL, pero no implican la inconstitucionalidad de un precepto que otorga cobertura a actos perfectamente ajustados a la Constitución. Se trata, por tanto, de una cuestión de límites entre el contenido de los acuerdos y el precepto cuestionado, no entre éste y la Constitución. Y, como señala el ATC 466/2006, de 19 de diciembre, la cuestión de inconstitucionalidad no puede constituir un cauce consultivo.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febrero de 2012, se señaló para votación y fallo de la presente Sentencia el día 1 de marzo del mismo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2 de Alicante ha promovido cuestión de inconstitucionalidad en relación con el art. 73.3, párrafo tercero, de la Ley reguladora de las bases del régimen local (LBRL), por considerar que puede vulnerar el art. 23 CE, en el procedimiento abierto como consecuencia de un recurso interpuesto por la Generalitat Valenciana contra determinados acuerdos del Ayuntamiento de Benidorm, de los que se ha dado cuenta en los antecedentes de esta resolución. Considera el órgano judicial que tal vulneración se produciría porque al concejal no adscrito, que representa a la totalidad de los ciudadanos de su circunscripción, se le impide ocupar determinados cargos cuyas funciones inciden en el núcleo de su función representativa, caracterizándose el estatuto del miembro no adscrito de la corporación por su absoluta indefinición. Así ocurriría con el concejal no adscrito al que se atribuyó la función de primer teniente de Alcalde, que asumiría un derecho político superior al que le correspondía en su grupo de pertenencia, y a los integrantes del autodenominado Grupo municipal Socialista, ex concejales del PSOE, que no podrían ostentar derechos económicos y políticos superiores a los que tenían en su grupo de procedencia, pese a haber asumido el gobierno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del Estado sostienen la constitucionalidad de la norma cuestionada, pues entienden que no afecta al núcleo esencial de la función representativa de los concejales, por lo que solicitan la desestimación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el fondo de la cuestión, se hace preciso solventar un aspecto de la misma que ha sido puesto de relieve por el Fiscal General del Estado. El examen del Auto de planteamiento y de las actuaciones remitidas por el Juzgado de lo Contencioso-Administrativo núm. 2 de Alicante pone de manifiesto la existencia de una diferencia entre la providencia por la que se abrió el trámite de audiencia previsto en el art. 35.2 de la Ley Orgánica del Tribunal Constitucional (LOTC) y el Auto de 19 de julio de 2011. La primera menciona como precepto constitucional vulnerado únicamente el art. 23.1 CE, mientras que, en el posterior Auto, la fundamentación argumenta la infracción del art. 23 CE, centrándose esencialmente en uno de los aspectos garantizados por el mismo, como es el relativo al mantenimiento en la función o cargo público y a su desempeño, ejerciendo la función que le es propia, de acuerdo con lo que la ley disponga, si bien la parte dispositiva del Auto vuelve a referirse sólo al art. 23.1.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no podemos obviar que la apuntada imprecisión del órgano judicial en la identificación del concreto apartado del art. 23 CE que se considera vulnerado por el art. 73.3, párrafo tercero, LBRL, no ha sido obstáculo, como ponen de manifiesto las actuaciones, para que todos los personados en el proceso a quo hayan situado en sus exactos términos la duda de constitucionalidad del órgano judicial y hayan podido pronunciarse sobre la posible disconformidad del precepto cuestionado con la mencionada faceta del derecho fundamental consagrado en el art. 23.2 CE, formulando las correspondientes alegaciones. Por consiguiente, debe entenderse satisfecha la doble finalidad del trámite de audiencia según nuestra reiterada jurisprudencia: de un lado, garantizar una efectiva y real audiencia de las partes y del Ministerio Fiscal ante una posible decisión de tanta entidad, como es plantear una cuestión de inconstitucionalidad, poniendo a disposición del Juez un medio que le permita conocer con rigor la opinión de los sujetos interesados. De otro, facilitar el examen por parte de este Tribunal de la viabilidad de la cuestión misma y del alcance del problema constitucional en ella planteado (por todos, ATC 467/2007, de 17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otro lado, y en lo que se refiere al juicio de aplicabilidad del precepto cuestionado que se formula en el Auto de planteamiento, no cabe duda alguna en cuanto a su aplicación al concejal don J.B.P., que ostenta la condición de no adscrito, tras el abandono del grupo político con el que concurrió a las elecciones, y que, en virtud de los acuerdos municipales impugnados en el procedimiento a quo, ha sido nombrado primer teniente de Alcalde, además de miembro de la Junta de gobierno local, de distintas comisiones y representante de la corporación en el Consorcio de aguas potables de la Marina Baixa, a lo que se une la delegación de funciones por parte de la Alcaldía en diversas áreas de competencia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ocurre lo mismo en relación con el resto de concejales que se encuentran afectados por el procedimiento contencioso-administrativo que, según consta en las actuaciones remitidas, se hallan integrados en el Grupo municipal socialista, sin que ostenten la condición de concejales no adscritos, presupuesto indispensable para la aplicación del párrafo tercero del art. 73.3 LBRL aquí cuestionado. A pesar de ello, el órgano judicial razona que “los integrantes del Grupo Municipal Socialista, todos ellos ex concejales del PSOE, no podrían ostentar derechos económicos y políticos superiores a los que tenían en el grupo de procedencia, es decir, no podrían percibir retribuciones superiores a las que tenían con anterioridad pese a haber asumido el gobierno municipal”. Esto es, implícitamente, el Auto de planteamiento de la cuestión está asumiendo la argumentación de la demanda presentada por la Generalitat Valenciana en el procedimiento contencioso-administrativo, en la que se afirma que, con incumplimiento del denominado Pacto antitransfuguismo, los concejales integrantes del Grupo municipal Socialista abandonaron la formación política en la que concurrieron a las elecciones municipales, por lo que han de pasar a la condición de concejales no adscritos, y, en tal sentido, el petitum de la demanda solicita la disolución del referido grupo y la declaración de los concejales que lo integran como concejales no adscritos. No obstante, el Auto no explicita razonamiento alguno sobre este particular, sino que se limita, directamente, a exponer las consecuencias que para dichos concejales tendría la aplicación de la regla del art. 73.3, párrafo tercero, LBRL, siendo así que esa aplicación pasa imprescindiblemente por la previa concurrencia del presupuesto de que los mencionados concejales ostenten la condición de no adscritos, circunstancia que, como se ha dicho, y a la luz de las certificaciones que figuran en las actuaciones, emitidas por el Secretario General del Ayuntamiento de Benidorm, no se 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se han fundamentado debidamente en el Auto de planteamiento de la cuestión los motivos por los que la norma cuestionada resultaría de aplicación a este otro grupo de concejales —los integrantes del Grupo municipal Socialista—, extremo que no deriva de manera patente e inmediata de las actuaciones remitidas, sino sólo mediata o condicionadamente a que se estimen otras pretensiones articuladas en su recurso por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aclaradas las anteriores cuestiones, podemos proceder a dar respuesta a las dudas de constitucionalidad planteadas en la presente cuestión por el Juzgado de lo Contencioso-Administrativo núm. 2 de Alicante. Y en este punto no podemos sino señalar que tales dudas quedaron ya resueltas por la STC 9/2012, de 18 de enero (“BOE” núm. 36, de 11 de febrero de 2012), que desestimó la cuestión de inconstitucionalidad núm. 1490-2010, promovida en relación con igual precepto por el mismo órgano jurisdiccional, por las razones que constan en su fundamento jurídico cuarto, al que debemos remitirnos en conjunto. En concreto, después de señalar que no cualquier acto que afecte al status jurídico aplicable al representante político lesiona el derecho fundamental invocado, “pues sólo poseen relevancia constitucional a estos efectos los derechos o facultades atribuidos al representante que pertenezcan al núcleo de su función representativa (SSTC 38/1999, de 22 de marzo, FJ 2; 107/2001, de 23 de abril, FJ 3; 208/2003, de 1 de diciembre, FJ 4; 141/2007, de 18 de junio, FJ 3; y 169/2009, de 9 de julio FJ 2)”, consideramos aplicable aquí la doctrina sentada por la STC 169/2009, de 9 de julio, FJ 3, en cuanto a las facultades que pertenecen al núcleo inherente a la función representativa que constitucionalmente corresponde a los miembros de una corporación provincial, esto es, la de participar en la actividad de control del gobierno local (provincial, en aquel caso) la de participar en las deliberaciones del Pleno de la corporación, la de votar en los asuntos sometidos a votación en este órgano, así como el derecho a obtener la información necesaria para poder ejercer las anteriores. De acuerdo con todo ello, concluimos: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doctrina, debemos rechazar la inconstitucionalidad del tercer párrafo del art. 73.3 LBRL, propugnada en el Auto de planteamiento de la presente cuestión de inconstitucionalidad. En efecto, definido en los términos ya señalados el sentido del precepto legal cuestionado, es claro que la garantía que proporciona el art. 23.2 CE no se ve vulnerada en un supuesto como el planteado por el órgano judicial promotor de esta cuestión de inconstitucionalidad. El órgano judicial considera que el precepto cuestionado vulnera el art. 23 CE, en la medida en que impide al representante no adscrito ser elegido, por el Alcalde de la corporación, miembro de la Junta o comisión de gobierno y Teniente de Alcalde, cuando el resto de concejales de la corporación pueden optar a dichos cargos. Como señala el Fiscal General del Estado en su escrito de alegaciones, los aspectos a los que se refiere concretamente el Auto de planteamiento de esta cuestión de inconstitucionalidad —pertenencia a la Junta o comisión de gobierno y designación como Teniente de Alcalde— no están incluidos en el núcleo básico del mandato representativo y constituyen aspectos de la organización y estructura consistorial dentro de las potestades, no ilimitadas, del Alcalde. En efecto, tales nombramientos dependen de la voluntad de un tercero, el Alcalde de la corporación, voluntad que ha de ser ejercida en los términos y condiciones determinados al respecto por la Ley de bases de régimen local (arts. 23.1 y 125.1).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cuanto antecede, hemos de concluir que el nombramiento para cargos relacionados con el gobierno y la administración del municipio no se integra en el núcleo esencial de las funciones representativas del concejal. Se trata de ámbitos ajenos al ejercicio de la función representativa atribuida al mismo, lo que determina que el art. 23 CE no se vea aquí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expuestas, se impone ahora la desestimación de la cuestión de inconstitucionalidad, sin perjuicio de las consecuencias que produzca la concreta aplicación del art. 73.3, párrafo tercero, LBRL a los supuestos planteados en el Ayuntamiento de Benidorm, aspecto que, como bien señala el Fiscal General del Estado, no es materia del presente procedimiento, en el que se desarrolla un juicio abstracto de constitucionalidad, del que resulta únicamente que el precepto discutido no se opone a las previsiones del art. 23 CE.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Desestimar la presente cuestión de inconstitucionalidad.</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