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5150-2010, promovido por don Antonio García Carbonell, representado por el Procurador de los Tribunales don Mario Castro Casas y asistido por el Letrado don Fermín Gavilán Pasaron, contra el Auto dictado el 15 de abril de 2010 por la Sala de lo Penal del Tribunal Supremo que desestimó el recurso de casación formulado contra el Auto de la Sección Quinta de la Audiencia Provincial de Barcelona, recaído el 3 de junio de 2009 en la ejecutoria núm. 279-1999. Ha intervenido el Ministerio Fiscal.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junio de 2010 el Letrado don Fermín Gavilán Pasaron presentó en el Registro General de este Tribunal un escrito de demanda en nombre de don Antonio García Carbonell contra las resoluciones judiciales a las que se ha hecho mención en el encabezamiento de esta Sentencia, al tiempo que solicitaba la designación de Procurador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central de asistencia jurídica gratuita acordó el 16 de julio de 2010 reconocer a don Antonio García Carbonell el derecho de asistencia jurídica gratuita, en los términos establecidos en el art. 6 de la Ley 1/1996, de 10 de enero, de asistencia jurídica gratuita. Tras ello, el Colegio de Procuradores de Madrid procedió a designar, para su representación en el presente proceso de amparo, al Procurador de los Tribunales don Mario Castro Casas, el cual suscribió la demanda mediante escrito presentado el 3 de septiembre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Décima de la Audiencia Provincial de Barcelona, mediante Sentencia de 27 de diciembre de 1996, condenó al demandante de amparo, como responsable de cuatro delitos de robo con violación, a cuatro penas de veinticuatro años de reclusión mayor; por la comisión de seis delitos de violación, a seis penas de quince años de reclusión menor; por cuatro delitos de detención ilegal, a cuatro penas de nueve años de prisión mayor; por un delito de robo con violencia, a cuatro años, dos meses y un día de prisión menor; por un delito de robo con intimidación, a dos años, cuatro meses y un día de prisión menor; por cinco faltas de lesiones, a otras tantas penas de veinte días de arresto menor. Igualmente le impuso las penas legales accesorias, así como el pago de las costas procesales y responsabilidades civiles que se determinan en la parte dispositiva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Sección Quinta de la Audiencia Provincial de Barcelona, mediante Sentencia de 16 de septiembre de 1999, condenó al demandante de amparo a las penas de veinte años y un día de reclusión mayor por la comisión de un delito de robo con violación; doce años y un día de reclusión menor por la comisión de un delito de violación; seis años y un día de prisión mayor por un delito de detención ilegal; y dos años, cuatro meses y un día de prisión menor por cada uno de los dos delitos de lesiones apreciados. Igualmente le impuso las penas legales accesorias, así como el pago de las costas procesales y responsabilidades civiles que se determinan en la parte dispositiva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20 de diciembre de 1999, la Sección Quinta de la Audiencia Provincial de Barcelona acordó la acumulación de las condenas impuestas en ambas Sentencias, fijando en treinta años de privación de libertad el tiempo total de cumplimiento de las mismas, en aplicación de lo establecido en el art. 70.2 del Código penal (CP)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consecuencia de la acumulación de condenas, la Sala aprobó por providencia de 2 de marzo del 2000 la correspondiente liquidación de condena, estableciéndose como fecha de extinción de la misma el 25 de julio de 2025.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pidió el 18 de julio de 2001 la revisión de la condena, solicitando que le fueran aplicadas las disposiciones del Código Penal de 1995, si bien en la audiencia pública celebrada al efecto el 13 de noviembre de 2001, tanto él mismo como su Letrado se mostraron conformes con la aplicación del Código penal de 1973, por lo que la Sala dictó Auto de 14 de noviembre de 2001 teniéndole por desistido de aquélla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medio de escrito de 28 de abril de 2009 el Ministerio Fiscal manifestó tener conocimiento de que la Administración penitenciaria tenía previsto proponer el licenciamiento definitivo del demandante para el 17 de julio de 2011, contraviniendo la jurisprudencia del Tribunal Supremo, por lo que solicitaba a la Sala sentenciadora que “se ordenara a la Administración Penitenciaria Catalana la aplicación de la ‘doctrina Parot’ (sic) al interno ... aplicándose los beneficios penitenciarios y redenciones que procedan con respecto a cada una de las penas que se encuentre cumpliendo”; habiéndose opuesto a dicha pretensión la defensa del condenado, por escrito de fecha 20 de mayo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3 de junio de 2009, la mencionada Sección de la Audiencia Provincial de Barcelona estimó la petición efectuada por el Ministerio Fiscal y acordó practicar liquidación de condena, de manera que los beneficios penitenciarios y redenciones que procediesen se aplicarían respecto a cada una de las penas que se encontrase cumpliendo, ordenando que, una vez extinguida la primera, se diese cumplimiento a la siguiente y así sucesivamente hasta el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defensa del penado interpuso contra dicha resolución recurso de casación ante la Sala de lo Penal del Tribunal Supremo, que fue desestimado por Auto de 15 de abril de 2010, en el que se reafirma la doctrina sentada en la Sentencia 197/2006,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que las resoluciones judiciales impugnadas vulneran tanto el derecho a la libertad individual del recurrente (art. 17.1 CE) como el derecho a que las penas estén orientadas a la reinserción social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comienza explicando que pese a la aprobación del Código penal de 1995 no solicitó la revisión de su condena en consideración a que, mediante las redenciones ordinarias y extraordinarias por trabajo que preveía el Código penal de 1973, la duración de la condena que con arreglo a éste tenía que cumplir era menor. Añade que en aquel momento era imprevisible la doctrina iniciada por la Sentencia de la Sala de lo Penal del Tribunal Supremo 197/2006, de 28 de febrero, la cual tiene su razón de ser en la existencia de delincuentes con un amplio historial de condenas por delitos de gran alarma social y con un índice alto de reincidencia, siendo así que la mencionada doctrina sólo se está aplicando a delincuentes condenados por delitos de terrorismo y contra la libertad sexual, convirtiéndose en una aplicación del Derecho penal de autor proscrita en nuestra legislación, sin instarse su aplicación por el Ministerio Fiscal a otro tipo de penados, aunque los mismos tengan una acumulación de Sentencias por múltiples delitos y con un alto grado de reincidencia, lo que conlleva una discrecionalidad y arbitrariedad no aceptables en un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reproduce el contenido del Voto particular formulado a la Sentencia 734/2008, de 14 de noviembre, de la Sala de lo Penal del Tribunal Supremo, en el que se afirma que cuando “se haya abonado un determinado beneficio a un preso, si no es recurrido en tiempo y forma por el Ministerio Fiscal o por el propio penado, deviene firme e intangible, salvo que se den una de estas dos posibilidades: una, de naturaleza procesal, la de que la Ley no atribuya expresamente de firmeza a dicha resolución, excepción que en todo caso debería ser compatible con el principio de seguridad jurídica; otra, de carácter sustantivo, la de que el beneficio en cuestión no sea definitivo, sino condicional, pudiendo ser revisado en los supuestos legales en que así se prevea. Y de la misma manera que el Tribunal Constitucional estimó que ninguna de dichas circunstancias concurre en relación con la redención de penas por el trabajo, cabe afirmar que tampoco hay precepto legal alguno que torne en meramente provisional la decisión de aplicar los beneficios penitenciarios a la pena a cumplir y no a todas las impuestas, porque no es una decisión condicionada, ni siquiera la Ley podría hacerlo sin inconstitucional merma de la seguridad jurídica más elemental”. Añade que existe otro motivo para no entender aplicable a todos y cada uno de los casos la doctrina pretendida, cual es que “el art. 78 CP establece como excepcional que los beneficios penitenciarios, los permisos de salida, la clasificación en tercer grado y el cómputo de tiempo para la libertad condicional se refieran a la totalidad de las penas. Y lo establece como excepcional pues ese modo de actuar se atribuye al juzgador con el sintagma ‘podrá acordar’, que se trueca en modo imperativo en el apartado 2 del citado precepto solamente en los supuestos concretos de las letras a) y b) [inicialmente y, desde la Ley Orgánica de 2003 también c) y d)] del art. 76 CP. Aún más, esa facultad excepcional exige un presupuesto: que el triple de la pena más grave sea inferior a la suma de la totalidad de las penas impuestas. De suerte que, si el triple de la pena más grave no es inferior a la mitad de la suma de las penas impuestas o, aún en tal caso, si el sentenciador no hace uso de aquella posibilidad, la referencia será en relación a la pena a cumplir, expresión usada por el citado art. 78 en el inciso inicial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demandante de amparo exponiendo que la especial trascendencia del presente recurso estriba en la conveniencia de determinar si la llamada “doctrina Parot” construida por el Tribunal Supremo es acorde con la Constitución, así como precisar, en el caso de que fuese declarada conforme con la misma, si puede aplicarse a cualesquiera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Constitucional, por providencia de 31 de marzo de 2011, admitió a trámite la demanda y, de conformidad con lo dispuesto en el art. 51 de la Ley Orgánica del Tribunal Constitucional (LOTC), acordó dirigir atenta comunicación a la Sala de lo Penal del Tribunal Supremo y a la Sección Quinta de la Audiencia Provincial de Barcelona, a fin de que, en plazo que no excediera de diez días, remitiesen certificación o fotocopia adverada de las actuaciones correspondientes, respectivamente, al recurso de casación núm. 11132-1999 y a la ejecutoria núm. 279-1999, debiendo la Audiencia emplazar previamente a quienes hubieran sido parte en el procedimiento, a excepción del demandante de amparo, para que pudieran comparecer en el plazo de diez días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 3 de mayo de 2011, se acordó, de conformidad con lo dispuesto en el art. 52.1 LOTC, dar vista de las actuaciones, por plazo común de veinte días, al demandante y al Ministerio Fiscal, para que presentaran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evacuó el trámite de alegaciones mediante escrito registrado el 9 de junio de 2011, en el que se remite a cuanto argumentó previamente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de alegaciones mediante escrito registrado el 15 de junio de 2011, en el que solicita que se estime el recurso de amparo, por entender que se ha vulnerado el derecho a la ejecución de las resoluciones judiciales en sus propios términos (art. 24.1 CE), en relación con los principios de legalidad penal y de irretroactividad de lo desfavorable para el reo (arts. 25.1 y 9.3 CE) y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comienza rechazando que se haya producido una vulneración del art. 25.2 CE, puesto que, como reiteradamente ha destacado la doctrina de este Tribunal, el mencionado precepto constitucional no contiene un derecho fundamental del ciudadano susceptible de ser invocado en amparo, sino más bien un mandato dirigido al legislador para orientar la política penal y penitenciaria con objeto de que configure las sanciones penales de modo que cumplan estos fines de reinserción y rehabilitación establecidos en la Constitución, pero sin que se deriven derechos subjetivos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Ministerio Fiscal que, en realidad, el conflicto se plantea entre la exigencia de mantenimiento de una resolución judicial de refundición de penas y la variación de una interpretación jurisprudencial que implica consecuencias retroactivamente perjudiciales para la fecha de licenciamiento definitivo del reo. Pues bien, el Fiscal considera que el Auto que fijó los criterios para la ejecución de la condena según una interpretación concreta de la normativa en juego se ha visto modificado posteriormente en atención a una nueva interpretación emanada de la Sala Segunda del Tribunal Supremo, lo cual comporta la vulneración del derecho a la intangibilidad de las resoluciones judiciales ex art. 24.1 CE; un derecho fundamental que, además, tiene engarce con el principio de legalidad penal (art. 25.1 CE) y con la prohibición de retroactividad de las normas penales perjudiciales para el reo (art. 9.3 CE), ya que las garantías de legalidad y seguridad jurídica que exigen ambos preceptos constitucionales deben extenderse no sólo al enjuiciamiento del hecho como tipicidad cierta, taxativa y previsible, sino también a la ejecución de las penas, integrándose la irretroactividad de las normas y su interpretación desfavorable al reo en el complejo de legalidad del art. 25.1 CE. Añade que las resoluciones judiciales recurridas no se han limitado a variar la fecha de licenciamiento de conformidad con los extremos anejos al devenir del cumplimiento de la pena impuesta (por ejemplo con datos relativos a la redención de penas por el trabajo) sino que han alterado éstos de manera contraria y desfavorable al reo, aportando una revisión interpretativa que supone de facto la creación ex novo de un nuevo marco paranormativo que ha causado una extensión de la fecha de licenciamiento del interno y una revisión en la aplicación de los beneficios de la redención de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a las mencionadas vulneraciones debe adicionarse la lesión del derecho a la libertad personal (art. 17.1 CE), por cuanto el demandante en vez de obtener el licenciamiento definitivo en la fecha prevista lo hará en otra muy posterior, como consecuencia de esa nueva y desfavorable interpretación de la normativa en juego que las resoluciones judiciales efectuaron en contra del 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junio de 2011, el Pleno del Tribunal, de conformidad con lo establecido en el art. 10.1 n) LOTC y a propuesta de la Sala Segunda,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marzo de 2012 se señaló para la deliberación y votación de la presente Sentencia el día 29 del mismo mes y año, trámite que ha finalizado en el día de hoy.</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el 3 de junio de 2009 por la Sección Quinta de la Audiencia Provincial de Barcelona acordando practicar liquidación de condena en el seno de la ejecutoria núm. 279-1999, así como contra el Auto de 15 de abril de 2010 de la Sala de lo Penal del Tribunal Supremo que desestimó el recurso de casación formulado contra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quedado expuesto con mayor detalle en los antecedentes de esta resolución, el demandante de amparo fue condenado a diversas penas que, una vez acumuladas en virtud de lo establecido en el art. 70.2 del Código penal (CP) de 1973, dieron lugar a que la Audiencia Provincial de Barcelona fijara en treinta años de privación de libertad el tiempo total de cumplimiento de las mismas; aprobándose la correspondiente liquidación de condena, en la que se establecía como fecha de extinción el 25 de julio de 2025.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demandante, los beneficios penitenciarios derivados de la redención de penas por el trabajo desde que inició el cumplimiento de la condena debieran calcularse sobre los mencionados treinta años, mientras que las resoluciones judiciales impugnadas aplican el criterio establecido por la Sala de lo Penal del Tribunal Supremo en su Sentencia 197/2006, de 28 de febrero, conforme a la cual el beneficio de la redención de penas por el trabajo reconocido en el art. 100 CP 1973 ha de aplicarse no a ese máximo de cumplimiento, sino a cada una de las penas impuestas en las diversas condenas, de modo que el cumplimiento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demandante de amparo que los Autos impugnados, en la medida en que aplican la mencionada doctrina, vulneran tanto su derecho a la libertad individual (art. 17.1 CE) como el derecho a que las penas estén orientadas a la reinserción social (art. 25.2 CE). Coincide parcialmente con este parecer el Ministerio Fiscal, el cual estima que se ha vulnerado el derecho a la intangibilidad de las resoluciones judiciales firmes (art. 24.1 CE), en relación con los principios de legalidad penal y de irretroactividad de lo desfavorable para el reo (arts. 25.1 y 9.3 CE) y 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quejas esgrimidas en la demanda de amparo debe descartarse, ya desde el inicio, la relativa a la vulneración del art. 25.2 CE, conforme al cual las penas privativas de libertad han de hallarse orientadas a la reeducación y reinserción social. Este Tribunal ha declarado reiteradamente que el art. 25.2 CE no contiene un derecho subjetivo, ni menos aún un derecho fundamental, susceptible de protección en vía de amparo, sino tan sólo un mandato del constituyente al legislador y a la Administración penitenciaria para orientar la ejecución de las penas privativas de libertad (por todas, SSTC 115/2003, de 16 de junio, FJ 3; y 299/2005, de 21 de noviembre, FJ 2). Del mismo modo, hemos señalado que el art. 25.2 CE no establece que la reeducación y la reinserción social sean las únicas finalidades legítimas de las penas privativas de libertad ni, por lo tanto, que haya de considerarse contraria a la Constitución la aplicación de una pena que pudiera no responder exclusivamente a dicha finalidad (por todas, STC 167/2003, de 29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aun cuando el nuevo criterio de cómputo de las redenciones dificulte objetivamente la posibilidad de reducir automáticamente el cumplimiento efectivo de la pena en determinados supuestos, singularmente aquellos en los que la duración de las penas acumuladas supere ampliamente los límites máximos de cumplimiento legalmente establecidos, es lo cierto que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Abordando ya el motivo sustancial de la petición de amparo, debemos afirmar, en primer lugar,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sin que de la interpretación sometida a nuestro enjuiciamiento se derive ni el cumplimiento de una pena mayor que la prevista en los tipos penales aplicados, ni la superación del máximo de cumplimiento legalmente previsto. El Tribunal Europeo de Derecho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caso Grava c. Italia (§ 51), en un supuesto referido a la condonación de la pena citando, mutatis mutandis, el caso Hogben c.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de las infracciones y sanciones (art. 25.1 CE) por aplicación retroactiva del art. 78 CP 1995, tanto en su redacción inicial como en la dada al mismo por la Ley Orgánica 7/2003. En dicho precepto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criterio que deviene obligatorio cuando se trata de penas especialmente graves aunque, no obstante, se prevean algunas excepciones que deberá valorar el Juez de vigilancia penitenciaria (art. 78.2 y 3 CP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trabajo, puesto que dicha posibilidad desaparece en el Código penal de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era posible a la vista del tenor literal de los arts. 70.2 y 100 CP 1973 y el art. 988 de la Ley de enjuiciamiento criminal (LECrim). Por tanto, teniendo en cuenta el razonamiento de los órganos judiciales y los preceptos que se aplican, la queja carece de base fáctica,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sí pueden ser cuestionados desde otras perspectivas. Una de ellas, alegada en la demanda de amparo, tiene que ver con el contenido del derecho a la igualdad en la aplicación de la ley (art. 14 CE). Sin embargo, tampoco desde esta perspectiva puede apreciarse en el presente caso la vulneración denunciada. Las resoluciones impugnadas, dictadas por la Audiencia Provincial de Barcelona, se limitan a aplicar la doctrina sentada por otro órgano judicial, el Tribunal Supremo, máximo intérprete de la ley, justificando razonadamente el cambio de criterio sobre la forma de en el cómputo de las redenciones de penas por el trabajo en penas acumuladas, frente a otros supuestos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colige también, por razones atinentes al principio de legalidad, que el demandante no ha sido privado de su libertad personal en supuestos distintos de los establecidos en la ley penal, lo que descarta la alegada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otra perspectiva, sostienen el demandante y el Ministerio Fiscal que la aplicación de la nueva interpretación jurisprudencial sobre la forma de cómputo de la redención de penas por el trabajo ha vulnerado el derecho a la tutela judicial efectiva, en cuanto este derecho garantiza la intangibilidad de las resoluciones judiciales firmes (art. 24.1 CE). Concreta el Fiscal que el Auto mediante el que la Sala acordó acumular las diversas condenas impuestas al penado y fijar un límite máximo de cumplimiento, estableció las pautas para la ejecución de la condena, habiéndose visto modificado posteriormente con las resoluciones impugnadas en amparo, vulnerándose así el derecho del demandante a la intangibilidad de las resoluciones judiciales, que tiene engarce con el principio de legalidad (art. 25.1 CE) en relación con la prohibición de retroactividad de las normas penales perjudiciales para el reo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 CE corresponden en exclusiva a los órganos judiciales (STC 147/1988, de 14 de julio, FJ 2; en el mismo sentido, SSTC 237/1998, de 14 de diciembre, FJ 3; y 31/1999, de 8 de marzo, FJ 3). Nuestra función se limita, como hemos hecho al resolver los anteriores motivos de amparo,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Así se afirma expresamente, entre otras, en las SSTC 219/2000, de 18 de septiembre, FJ 5; 151/2001, de 2 de julio, FJ 3; 163/2003, de 29 de septiembre, FJ 4; 200/2003, de 10 de noviembre, FJ 2; 15/2006, de 16 de enero, FJ 4; 231/2006, de 17 de julio, FJ 2; 62/2010, de 18 de octubre, FJ 4. En tal sentido hemos dicho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Sentencia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la respuesta judicial obtenida por el recurrente en las resoluciones judiciales que son objeto del presente recurso de amparo, al aplicar el nuevo criterio de cómputo de las redenciones a las penas impuestas, ha supuesto, como afirman el demandante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realizado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el Abogado del Estado y el Ministerio Fiscal, y hemos recogido en los antecedentes de esta resolución una vez contrastados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condenado al cumplimiento de diversas penas privativas de libertad por hechos cometidos durante la vigencia del Código penal de 1973, la Sala sentenciadora, en aplicación de lo establecido en el art. 70.2 del mencionado texto legal, acordó, mediante Auto de 20 de diciembre de 1999, fijar en treinta años de prisión el máximo de cumplimiento de la condena impuesta, practicándose la correspondiente liquidación de condena, con arreglo a la cual la fecha de su extinción sería el 25 de julio de 2025.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el demandante de amparo pidió la revisión de la condena, solicitando que le fueran aplicadas las disposiciones del Código penal de 1995, si bien en la audiencia pública celebrada al efecto el 13 de noviembre de 2001, tanto él mismo como su Letrado se mostraron conformes con la aplicación del Código penal de 1973, por lo que la Sala dictó Auto de 14 de noviembre de 2001 teniéndole por desistido de aquella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por medio de escrito de 28 de abril de 2009 cuando el Ministerio Fiscal manifestó tener conocimiento de que la Administración penitenciaria tenía previsto el licenciamiento definitivo del demandante para el 17 de julio de 2011, razón por la que solicitó a la Sala sentenciadora que se ordenara a la Administración penitenciaria la realización de una liquidación de condena que se ajustara a la doctrina dimanante de la STS 197/2006, de 28 de febrero; siendo así que por Auto de 3 de junio de 2009 la Audiencia Provincial de Barcelona estimó la petición efectuada por el Ministerio Fiscal y acordó que se practicara la liquidación de forma tal que los beneficios penitenciarios y redenciones que procediesen se aplicaran respecto a cada una de las penas que se encontrase cumpliendo, ordenando que, una vez extinguida la primera, se diese cumplimiento a la siguiente y así sucesivamente hasta el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ninguna de las resoluciones judiciales a las que aluden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al Auto de la Sala de lo Penal de la Audiencia Nacional de 20 de diciembre de 1999 de acumulación de condenas y fijación del límite máximo de cumplimiento, esta resolución se limita a hacer efectiva la previsión legal (arts. 988 LECrim y 70.2 CP 1973). No existe en él referencia alguna a la redención de penas por el trabajo o al criterio de cómputo de la misma, ni puede concluirse que dicho criterio sea relevante en modo alguno en la decisión de acumulación en su día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Auto de 14 de noviembre de 2001, se limita a tener por desistido al demandante de amparo de su inicial petición de revisión de la condena, mostrándose tanto él mismo como su Letrado se mostraron conformes con la aplicación del Código penal de 1973. En todo caso, es claro que ni en el fallo de esta resolución se realiza pronunciamiento alguno acerca del criterio de cómputo de las redenciones (porque no era su objeto), ni de su fundamentación jurídica puede concluirse que la decisión de no revisar las condenas se sustentara de manera clara en un determinado criterio de cómputo de las redenciones que resulte determinante o decisivo para considerar o no más favorable 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no existe vulneración del derecho a la tutela judicial efectiva en su vertiente de intangibilidad de las resoluciones judiciales firmes (art. 24.1 CE), ni, en consecuencia, vulneración del derecho a la libertad personal (art. 17.1 CE) por esta causa.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 en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García Carbonell.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5150-2010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