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Eduardo González Nájera en el recurso de amparo núm. 3723-2011.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junio de 2011, la Procuradora de los Tribunales doña Sara Carrasco Machado, en nombre y representación de don Eduardo González Nájera, interpuso recurso de amparo contra las resoluciones que figuran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el recurrente solicitaba, al amparo de lo dispuesto en el art. 56 de la Ley Orgánica del Tribunal Constitucional (LOTC), la suspensión de la ejecución de la Sentencia objeto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Sentencia del Juzgado de lo Penal núm. 2 de Logroño de 2 de noviembre de 2010 condenó al demandante de amparo, como autor de seis delitos de abusos sexuales, a dos años de prisión por cada uno de ellos, inhabilitación especial para el ejercicio de sufragio pasivo durante el tiempo de la condena, inhabilitación para el ejercicio de su profesión de profesor por tiempo de seis años, prohibición de acercarse a menos de 200 metros de las víctimas, sus domicilios, colegios y lugares que frecuenten, así como de comunicar con ellas, por tiempo de cinco años, y al pago de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dicha Sentencia interpuso el demandante recurso de apelación, que fue desestimado por Sentencia de la Audiencia Provincial de La Rioja (Sección Primera) de 2 de mayo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providencia de 16 de febrero de 2012,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igual fecha, se acordó formar la oportuna pieza para la tramitación del incidente de suspensión y, de conformidad con lo dispuesto en el art. 56.4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presentado el 27 de febrero de 2011, solicita que se deniegue la suspensión solicitada. Respecto de la pena privativa de libertad, argumenta que, pese a que por aplicación del art. 76 del Código penal la pena a cumplir será la de seis años de prisión, teniendo en cuenta la entidad de la misma, los bienes jurídicos protegidos y que, por su duración, una eventual pérdida de la finalidad del amparo sólo sería parcial, debe denegarse la suspensión. En segundo lugar, la pena de inhabilitación para el ejercicio de su profesión, y la del pago de las cotas procesales, admite su restitución íntegra, por lo que no debe ser suspendida. Y tampoco debe serlo la pena de prohibición de aproximación y comunicación con las víctimas, en aras a la protección de éstas.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citado trámite a través de un escrito presentado en el Registro General de este Tribunal el 28 de febrero de 2012, en el que reiteró su solicitud de suspensión, argumentando que la pena de prisión a cumplir sería de seis años y que la ejecución de la misma puede ocasionarle perjuicios irreparables y frustrar la finalidad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y 18/2011, de 28 de febrero,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12/2009, de 26 de enero; 112/2011, de 18 de julio).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entre otros muchos, en los AATC 462/2007, de 17 de diciembre; 116/2008, de 28 de abril, y 18/2011, de 28 de febrero,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(AATC 369/2005, de 24 de octubre, FJ 2; 214/2007, de 16 de abril, FJ 2; 287/2007, de 18 de junio, FJ 2; 18/2011, de 28 de febrero, FJ 2) y, deben también ponderarse, en consecuencia,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 En relación con este criterio de gravedad de la pena, este Tribunal viene aplicando como directriz inicial la de que la pena se sitúe por encima o por debajo de la frontera de los cinco años de prisión (AATC 16/2009, de 26 de enero; 18/2011, de 28 de febrero, FJ 2), que es la que le sirve al legislador penal para diferenciar entre las penas graves y las menos graves (art. 33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tales presupuestos, y en consonancia con la solicitud del Ministerio Fiscal, procede denegar la suspensión interesada. En aplicación de la regla de acumulación del art. 76 CP, la pena máxima a cumplir por el demandante sería de seis años de prisión, que se halla por encima del citado margen de gravedad con que, como regla general, opera este Tribunal; junto a ello, no cabe desatender que la condena se basa en la comisión de seis delitos de abusos sexuales, que afectan a bienes jurídicos esenciales, y que, como el propio recurrente manifiesta, aún no se ha dado comienzo a la ejecución de la pena, por lo que la suspensión no se revela imprescindible para preservar la efectividad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y aunque en sus escritos el recurrente se refiere únicamente a los perjuicios que le ocasionaría la privación de libertad y restrinja su petición a la suspensión de la pena de prisión, sin realizar referencia expresa alguna, es notorio que tampoco cabe acordar su suspensión al resto de pronunciamientos de las resoluciones impugnadas. La pena de inhabilitación para el ejercicio del sufragio pasivo, en atención a su carácter accesorio (AATC 408/2005, de 21 de noviembre, FJ 2; 112/2011, de 18 de julio, FJ 2); las penas de inhabilitación para el ejercicio de la profesión de profesor, y la del pago de las costas procesales, dada su naturaleza económica, admiten su restitución íntegra y son, por tanto, susceptibles de reparación (ATC 59/2008, de 20 de febrero; 112/2011, de 18 de julio, FJ 2). Y por lo que respecta a la prohibición de aproximación y comunicación con las víctimas durante cinco años, la afección a la libertad y, con ello, la irreparabilidad del perjuicio derivado de la misma, es sensiblemente menor que la que se derivaría de la pena de prisión, debiendo atenderse también a que la finalidad de la sanción consiste en otorgar la máxima protección a las víctimas, a la cual, en circunstancias como las que presenta el concreto supuesto, debe otorgarse particular relevancia en la ponderación sobre la procedencia de la suspensión. Así, en supuestos similares hemos denegado la suspensión atendiendo a que “la imposición en la Sentencia de la pena de alejamiento de la víctima tiene por objeto proteger la integridad física de aquélla —que constituye, asimismo, un derecho fundamental— frente a eventuales nuevos ataques, y que la restricción de la libertad ambulatoria del actor a dicha pena es mínima” (AATC 53/2003, de 10 de febrero, FJ 2; 12/2012, de 30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Eduardo González Nájera en el recurso de amparo núm. 3723-2011.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