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6549-2011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6549-2011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solicitada en relación con la ejecución de la pena privativa de libertad de dos años de duración y de la accesoria, de inhabilitación especial para el ejercicio del derecho de sufragio pasivo, impuestas a don Yamid Arnobi Valencia Carmona en Sentencia de 14 de febrero de 2005 del Juzgado de lo Penal núm. 1 de Vinaròs.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diciembre de 2011, el Procurador de los Tribunales don Isacio Calleja García, en representación de don Yamid Arnobi Valencia Carmona, interpuso recurso de amparo contra el Auto dictado por la Sección Segunda de la Audiencia Provincial de Castellón, el 7 de octubre de 2011, en el rollo de apelación núm. 700-2011, que desestimó el recurso de apelación promovido contra el Auto dictado por el Juzgado de lo Penal de Vinaròs, el 3 de mayo de 2011, en el procedimiento ejecutoria 60-2005. En este último Auto se acordaba que no procedía declarar la prescripción de la pena privativa de libertad de dos años de duración impuesta mediante Sentencia de 14 de febrero de 2005, debiendo continuarse con su normal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invoca la vulneración de los arts. 24.1, 17.1 y 25.1 CE. Por medio de otrosí se solicitó la suspensión de la ejecutoria 60-2005, del Juzgado de lo Penal núm. 1 de Vinaròs, por cuanto su ejecución implicaría el ingreso en prisión del recurrente y, con ello, la pérdida de la eficacia y finalidad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27 de febrero de 2012 se admitió a trámite la demanda de amparo, se acordó la formación de pieza separada para la tramitación del incidente de suspensión, y, conforme determina el art. 56 de la Ley Orgánica de este Tribunal, se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8 de marzo de 2012, se presentó en el Registro General de este Tribunal el escrito de alegaciones de la representación del actor. En su fundamentación jurídica, aparte de reiterarse los motivos por los que se interpuso el recurso de amparo, se alega —con apoyo en la jurisprudencia del Tribunal Constitucional— la procedencia de la suspensión solicitada, basándose en que la ejecución inmediata de la condena frustraría totalmente una eventual concesión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presentado el 12 de marzo de 2012, evacuó el trámite de alegaciones conferido, en el cual tras exponer la doctrina constitucional en torno a la suspensión de las resoluciones judiciales, y en particular de las que imponen penas privativas de libertad o de derechos, interesó —de acuerdo con lo solicitado por el recurrente— la suspensión de la pena privativa de libertad en consideración a que, de no concederse, los efectos de un eventual otorgamiento del amparo serían meramente ilusorios.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de este Tribunal, referida a este precepto, que cuando la suspensión se solicita en relación con la ejecución de resoluciones judiciales firmes y definitivas, lo más ajustado al interés general es no acceder a la misma, pues la suspensión se configura como una medida provisional de carácter excepcional y de aplicación restrictiva, dado el interés general en la efectividad de las decisiones de los poderes públicos, y, en particular, en la ejecución de las resoluciones judiciales. Lo anterior no impide, sin embargo, que la protección del interés general que subyace a la ejecución de lo juzgado deba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Esto último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caso, de acuerdo con la tesis del Ministerio Fiscal, procede estimar la pretensión de suspensión de la pena privativa de libertad solicitada. De un lado, porque su ejecución puede ocasionar al recurrente perjuicios irreparables que harían perder al amparo su finalidad, tanto por afectar al valor fundamental de la libertad como porque si se compara la duración de tales penas “con el tiempo que requiere la tramitación de un proceso de amparo como el presente, ha de concluirse que no suspender su ejecución ocasionaría un perjuicio irreparable, que privaría en parte o, incluso, en todo de eficacia a un eventual fallo estimatorio” (AATC 59/2008, de 20 de febrero, FJ 2; y 172/2008, de 23 de junio, FJ 2). Y, de otro, porque al acceder a la suspensión pretendida no se está ocasionando ninguna perturbación grave de los intereses generales ni se está afectando a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pena accesoria, de inhabilitación especial para el ejercicio del derecho de sufragio pasivo, debe seguir la suerte de la pena principal (AATC 131/2001, de 22 de mayo, FJ 2; 408/2005, de 21 de noviembre, FJ 2; y 80/2006, de 13 de marzo,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solicitada en relación con la ejecución de la pena privativa de libertad de dos años de duración y de la accesoria, de inhabilitación especial para el ejercicio del derecho de sufragio pasivo, impuestas a don Yamid Arnobi Valencia Carmona en Sentencia de 14 de febrero de 2005 del Juzgado de lo Penal núm. 1 de Vinaròs.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