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5637-2010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5637-2010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se refiere a las penas privativas de libertad de nueve meses de prisión impuestas a los recurrentes en la Sentencia de 17 de abril de 2012 dictada por la Sección Segunda de la Audiencia Provincial de Huelva.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los restantes pronunciamientos.</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julio de 2010, la Procuradora de los Tribunales doña María Jesús Mateos Herranz, en nombre y representación de don Antonio Muñiz García, don Rafael Muñiz García y Hermanos Muñiz de Ayamonte, S.L., interpuso recurso de amparo contra la Sentencia de 29 de enero de 2010 dictada por la Sección Segunda de la Audiencia Provincial de Huelva, que estimó en parte el recurso de apelación interpuesto contra la Sentencia de 20 de febrero de 2009 dictada por el Juzgado de lo Penal núm. 4 de Huelva en el procedimiento abreviado núm. 221-2008. Asimismo, el recurso de amparo impugna el Auto de la Sala de 3 de mayo de 2010, que desestima el incidente de nulidad promovido contra la Sentencia recaída en apelación y suprime el párrafo 1 del epígrafe 4.4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de 20 de febrero de 2009 el Juzgado de lo Penal núm. 4 de Huelva absuelve a los recurrentes del delito contra los derechos de los trabajadores, en concurso con un delito de lesiones por imprudencia grave, por el que venían siendo acusados.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Interpuesto recurso de apelación, por Sentencia de 29 de enero de 2010 la Audiencia Provincial de Huelva (Sección Segunda) condenó a los recurrentes como autores de un delito contra los derechos de los trabajadores [art. 316 del Código penal (CP)] en concurso con una falta de lesiones por imprudencia (art. 621.3 CP), consistente en penas de prisión, según los distintos responsables, de nueve meses y multa de nueve meses a razón de diez euros diarios o apremio personal subsidiario de un día por cada dos cuotas en caso de impago e insolvencia, y a las penas accesorias de inhabilitación especial por tiempo de nueve meses para el ejercicio, tanto personal como a través de su condición de administrador de una persona jurídica, de la actividad empresarial de la construcción, y por la falta, pena de veinte días de multa con una cuota diaria de diez euros o apremio personal subsidiario de un día por cada dos cuotas en caso de impago o insolvencia.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dicha Sentencia los condenados interpusieron incidente de nulidad de actuaciones, que fue inadmitido por providencia de 3 de mayo de la Audiencia Provincial de Huelva.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consideran que se han vulnerado sus derechos a un proceso con todas las garantías (art. 24.2 CE) y a la presunción de inocencia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otrosí, los recurrentes solicitaban la suspensión de la ejecución de la Sentencia de 29 de enero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marzo de 2012, dictada por la Sala Segunda del Tribunal Constitucional, se acordó admitir a trámite la demanda. Por otra providencia de esa misma fecha, la Sala acordó formar la correspondiente pieza separada de suspensión según lo solicitado por el demandante y, de conformidad con lo prevenido en el art. 56 de la Ley Orgánica del Tribunal Constitucional, conceder un plazo común de tres días al Ministerio Fiscal y al solicitante de amparo, para que, dentro de dicho término, aleguen lo que estimen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trámite de alegaciones mediante escrito registrado en este Tribunal con fecha de 17 de abril de 2012 en el que interesó la estimación de la solicitud de suspensión formalizada por la parte demandante en lo relativo a la pena privativa de libertad impuesta en la Sentencia recurrida, debiéndose extender dicha suspensión a la pena accesoria de inhabilitación.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por su parte, presentó escrito de alegaciones el 10 de abril de 2012, insistiendo en los argumentos expresados en su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en la redacción dada por la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este Tribunal, entre otros muchos, en los AATC 116/2008, de 28 de abril; 25/2009, de 26 de enero, y 145/2010, de 18 de octubre,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lo cual sucede en las condenas a penas privativas de libertad (AATC 155/2002, de 16 de septiembre, FJ 3; y 9/2003,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supuesto que aquí se examina de la doctrina referida obliga a considerar que, si se compara la duración de la pena privativa de libertad impuesta a los demandantes con el tiempo que requiere normalmente la tramitación de un proceso de amparo como el presente, no suspender su ejecución ocasionaría a aquél un perjuicio irreparable que dejaría totalmente en entredicho la eficacia de un eventual fallo estimatorio de la demanda de amparo, por cuanto la pena de prisión podría ya estar cumplida al menos en gran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atendidas las circunstancias concurrentes en el caso, no se aprecia que acceder a la suspensión solicitada genere una lesión específica y grave de los intereses generales —más allá de aquella que de por sí produce la no ejecución de un fallo judicial—, ni de derechos fundamentales o libertades públicas de terceros, mientras que en el supuesto contrario sí se irrogarían al recurrente perjuicios de muy difícil o imposible reparación. Por todo ello, en aplicación del principio de proporcionalidad, se entiende procedente acordar la suspensión de la pena privativa de libertad impuesta en la Sentencia recurrida, debiéndose extender dicha suspensión a la pena accesoria de inhabilitación.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no procede la suspensión del resto de pronunciamientos condenatorios que contiene la Sentencia antedicha, puesto que no se argumenta ningún perjuicio irreparable que pudiera provocar su ejecución, y ha de alegarse la bien conocida doctrina de que las resoluciones judiciales con efectos meramente patrimoniales por lo general no causan perjuicios irremediables, por más que puedan producir efectos desfavorables a quien demanda el amparo, ya que su reparación posterior, en caso de estimarse éste, es meramente económica y por ello no dificultosa (ATC 12/2012, de 30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procede, en fin, la suspensión de la responsabilidad subsidiaria para el caso de impago de la pena de multa, al tratarse de una eventualidad incierta que depende de que la multa no llegase a ser pagada, voluntariamente o por la vía de apremio, y en cualquier caso de una eventualidad futura que, en caso de sobrevenir, podría dar lugar a la modificación de la medida cautelar que ahora se adopta, en virtud del art. 57 LOTC (ATC 53/2009, de 23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Conceder la suspensión solicitada en lo que se refiere a las penas privativas de libertad de nueve meses de prisión impuestas a los recurrentes en la Sentencia de 17 de abril de 2012 dictada por la Sección Segunda de la Audiencia Provincial de Huelva.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Denegar la suspensión de los restantes pronunciamientos.</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