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3604-2011, promovido por doña Carmen Menéndez González-Palenzuela y doña Rosa María Alcalá Chacón, representadas por el Procurador de los Tribunales don Jorge Laguna Alonso y asistido por el Abogado don Wilfredo Jurado Rodríguez, contra los acuerdos de la Mesa de la Comisión de Medio Ambiente, Vivienda y Ordenación del Territorio de la Asamblea de Madrid de 14 de marzo de 2011, que dispusieron, de un lado, aceptar que el Consejo de Gobierno de la Comunidad de Madrid delegase en el Director General de Medio Ambiente la comparecencia sobre la propuesta de declaración del parque nacional de las Cumbres de la Sierra de Guadarrama y, de otro, que las propuestas de resolución sobre esa cuestión hubieran de ser de aceptación o rechazo global, inadmitiendo por ello la propuesta de modificación registrada por el Grupo Socialista. Han comparecido los Letrados de la Asamblea de Madrid en nombre de ésta. Ha intervenido el Ministerio Fiscal. Ha sido Ponente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junio de 2011 y presentado en el servicio de registro central de los Tribunales civiles de Madrid el día 15 de junio de 2011, el Procurador de los Tribunales don Jorge Laguna Alonso, en nombre y representación de doña Carmen Menéndez González-Palenzuela y de doña Rosa María Alcalá Chacón, “Diputadas y en su calidad de miembros del Grupo Parlamentario Socialista en la Asamblea de Madrid”, interpuso demanda de amparo contra los acuerdos de la Mesa de la Comisión de Medio Ambiente, Vivienda y Ordenación del Territorio de dicha Asamblea de 14 de marzo de 2011, que dispusieron, de un lado, aceptar que el Consejo de Gobierno de la Comunidad de Madrid delegase en el Director General de Medio Ambiente la comparecencia sobre la propuesta de declaración del parque nacional de las Cumbres de la Sierra de Guadarrama y, de otro, que las propuestas de resolución sobre esa cuestión hubieran de ser de aceptación o rechazo global, inadmitiendo por ello la propuesta de modificación registrada por el Grupo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Dentro del proceso para la declaración como parque nacional de un espacio natural, regulado por la Ley 5/2007, de la red de parques nacionales destacan las siguientes determinaciones. Art. 10.1: “La declaración de Parque Nacional … se hará por Ley de las Cortes Generales”; art. 10.3: “La iniciativa … corresponde al órgano que determine la Comunidad Autónoma o al Gobierno del Estado. En todo caso, la iniciativa se formalizará mediante la aprobación inicial de la propuesta por las Comunidades Autónomas en cuyo territorio se encuentren situados”; art. 10.5: “La propuesta, tras su aprobación inicial, será sometida a trámite de información pública …”; y 10.6: “Finalizado el trámite anterior, la propuesta será sometida a la Asamblea Legislativa de la Comunidad o Comunidades Autónomas afectadas y, tras obtener su acuerdo favorable, será trasladada al Ministerio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18 de noviembre de 2009 se firmó un Protocolo general de colaboración entre la Comunidad Autónoma de Madrid y la Comunidad Autónoma de Castilla y León habida cuenta del ámbito territorial al que se extiende la declaración del parque nacional, que contenía la propuesta de declaración del parque nacional de las Cumbres de la Sierra de Guadarrama, acordando el Consejo de Gobierno de la Comunidad de Madrid en su reunión de 17 de febrero de 2011 dar traslado de tal propuesta a la Asamblea Legislativa de esta Comunidad Autónoma a los efectos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22 de febrero de 2011 se acordó, por la Presidencia de la Cámara, requerir a la Secretaría General un informe jurídico respecto de la tramitación de dicha propuesta, que ésta evacuó el 3 de marzo concretando los siguientes puntos: “verificado el cumplimiento de los trámites previos, la Asamblea de Madrid deberá tramitar la propuesta recibida. Como es lógico, por respeto a la autonomía parlamentaria, la Ley 5/2007 no fija el procedimiento, sino que se limita a exigir, a efectos de continuar la tramitación, que las Asambleas Legislativas de las Comunidades Autónomas afectadas aprueben la propuesta de sus respectivas Comunidades, de modo que será la normativa interna la que determine el tipo de procedimiento parlamentario que haya de aplicarse. En el caso de la Asamblea de Madrid, a falta de un procedimiento específico, por lo demás no imprescindible, el precepto reglamentario que parece más acorde con las competencias de la Cámara, que no se limitan a las de mero debate o examen, sino que requieren un pronunciamiento expreso favorable sobre la propuesta para que ésta pueda prosperar, es el art. 215 RAM [Reglamento de la Asamblea de Madrid, aprobado por el Pleno el 30 de enero de 1997], previsto para el caso de que ‘el Consejo de Gobierno remitiera un programa o un plan requiriendo el pronunciamiento de la Asamblea’. En principio, el Reglamento da preferencia a la tramitación de tales propuestas en comisión, de manera que la Mesa de la Cámara debe ordenar su envío a la que considere competente, en este caso la de Medio Ambiente, Vivienda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concluía subrayando que “dado que se trata de una propuesta común de las dos Comunidades afectadas, articulada en torno a un Protocolo General de Colaboración, firmado el 18 de noviembre de 2009, el contenido de las propuestas de resolución habrán de ceñirse a la aprobación o rechazo en bloque de la iniciativa, de forma análoga a lo previsto en el art. 179.5 RAM sobre autorización de acuerdos o convenios de cooperación. En todo caso será la Mesa de la Comisión la que deba organizar la tramitación de la iniciativa y fijar los plazos correspondientes (art. 215.3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 la Asamblea de Madrid, reunida el 9 de marzo de 2011, acordó “dar traslado a la Comisión de Medio Ambiente, Vivienda y Ordenación del Territorio, para que la Mesa de la citada Comisión, en los términos establecidos en el art. 215 del Reglamento de la Asamblea, proceda a la tramitación de la iniciativa y a la fijación de los plazos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10 de marzo de 2011 tuvo lugar sesión de la Mesa de la citada comisión (Presidente, Vicepresidente y Secretaria), a la que asistieron además los portavoces de los grupos parlamentarios en esa comisión, acordándose alterar el orden del día de la comisión convocada para el 14 de marzo siguiente, incluyendo como primer punto del orden del día la tramitación de la iniciativa que nos ocupa y en dicho acto el Letrado de la Comisión repartió la propuesta de declaración de parque nacional de las Cumbres de la Sierra de Guadarrama, el acuerdo de la Mesa de la Asamblea de Madrid de 9 de marzo de 2011 y el informe jurídico de la Secretaría General de 3 de marzo de 2011. El Portavoz del Grupo Parlamentario Socialista mostró su disconformidad con la limitación de las propuestas de resolución a una mera aceptación o rechazo globales de la propuesta según se deducía del informe del Secretario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marzo de 2011 se registró en la Asamblea un escrito del Viceconsejero de Vicepresidencia y Secretario General del Consejo de Gobierno de la Comunidad de Madrid por el que se comunica, a los efectos parlamentarios procedentes, que el Director General del Medio Ambiente presentará la propuesta ante la Comisión de Medio Ambiente, Vivienda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y portavoces de la Comisión, el mismo 14 de marzo, y de conformidad con informe del Secretario General, acuerda “que sólo quepa presentar propuestas de resolución de los Grupos parlamentarios que supongan una aceptación o rechazo global del contenido de la Propuesta de Declaración de Parque Nacional de las Cumbres de la Sierra de Guadarrama, con el voto en contra del Vicepresidente”, que era diputado del Grupo Socialista. El Portavoz (en la citada comisión) del Grupo Parlamentario Socialista plantea un nuevo debate sobre si cabe o no delegación por parte del Consejo de Gobierno en un director general para explicar ante la Comisión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Mesa solicitó informe jurídico sobre esa cuestión, suspendiendo la sesión y según el informe, la delegación “es viable, siempre que la Mesa de la Comisión competente decida autorizarla. Es decir, se trata de una mera propuesta que el Consejo de Gobierno formula a la Cámara, en cuyo seno es el órgano rector de la Comisión quien ostenta la competencia decisoria. Así se colige del art. 215, en relación con los arts. 213 y 209.4 RAM” y añade el informe: “Nuestro ordenamiento establece una prohibición general de delegación por parte de los órganos de las diferentes Administraciones públicas de los asuntos que se refieren a la relación con las Cortes Generales y las Asambleas Legislativas de las Comunidades Autónomas [art. 13 a) de la Ley 30/1992, de 26 de noviembre]. Excepción a dicha interdicción es la regla, generalmente afirmada en el derecho parlamentario, por la que se admite que los miembros del Consejo de Gobierno deleguen su intervención en los debates parlamentarios que se celebren en Comisión. Así, en el ámbito de la Asamblea de Madrid, el art. 209.4 prescribe que ‘los miembros del Consejo de Gobierno podrán delegar cada comparecencia ante la comisión correspondiente en los altos cargos de sus respectivos departamentos, previa autorización concedida al efecto por la Mesa de la Comisión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 los servicios jurídicos de la Asamblea concluye reconociendo que existen precedentes en los que un plan o comunicación del Consejo de Gobierno han sido sustanciados compareciendo, por delegación, un alto cargo de la Consejería, no un miembro del Consejo de Gobierno y detalla a continuación alguno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reanudación de la sesión, y en la línea del informe jurídico, se admitió la delegación comunicada por el Consejo de Gobierno con los votos a favor del Presidente y la Secretaría de la Mesa y en contra del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También el mismo día 14 de marzo se celebró la reunión de la Comisión y consta en el acta 34-2011 que se inició, según prevé el art. 213 RAM (el art. 215.2 RAM remite en cuanto al debate en comisión de las comunicaciones del Consejo de Gobierno a lo previsto en los arts. 213 y 214 RAM), con un debate sustanciado con la intervención sucesiva del Consejo de Gobierno (del Director General del Medio Ambiente, por delegación), de un representante de cada grupo parlamentario, del Consejo de Gobierno para contestar a los grupos parlamentarios de forma global, de los representantes de los grupos parlamentarios para replicar y, finalmente, del Consejo de Gobierno para cerrar el debate. Terminado el debate, en los términos del art. 214.1 RAM, se abrió un plazo para que los grupos parlamentarios presentasen propuestas de resolución ante la Mesa de la Comisión, que admitió a trámite la del Grupo Parlamentario Popular (de aceptación global) y la del Grupo Parlamentario de Izquierda Unida (de rechazo total) por ser “congruentes con la materia objeto de la comunicación” (art. 214.2 RAM) e inadmitió la registrada por el Portavoz en la Comisión del Grupo Parlamentario Socialista (de modificación) expresando éste su disconformidad diciendo que “las propuestas deben ser debatidas” (“Diario de Sesiones de la Asamblea de Madrid” núm. 850-14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sostiene que los acuerdos de la Mesa de la Comisión de Medio Ambiente, Vivienda y Ordenación del Territorio adoptados en su sesión de 14 de marzo de 2011 lesionan el derecho fundamental consagrado en el art. 23.2 CE, en relación con los arts. 213 a 215 RAM y subraya, en primer lugar, que es doctrina constitucional que dicho derecho no se agota en el acceso al cargo sino que abarca el ejercicio de la función representativa (STC 32/1985, de 6 de marzo), y que este ius in officium es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subraya la demanda que respecto de los preceptos que sirven de base a los acuerdos en que se centra la lesión, art. 213 RAM, al que remite el art. 215 RAM, “no está prevista delegación alguna por parte del Consejo de Gobierno de su comparecencia en comisión”, y que la lesión se produce “máxime si la delegación no existe, como es el caso (ausencia de acuerdo expreso para dicha delegación)”. La demanda concluye reconociendo que “la delegación realizada tendente a impedir el debate parlamentario con el Consejo de Gobierno en el procedimiento establecido por el art. 212 y ss. RAM vulnera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otro acuerdo, luego de copiar el art. 214 RAM, la demanda afirma que, según ese precepto, “las propuestas de resolución que los grupos presenten no han de ser de aceptación o rechazo. La inadmisión por esa razón de la propuesta planteada por mi mandante vulnera el derecho fundamental de acceso al cargo previsto en el art. 23.2 CE. De igual manera se produce vulneración por haber sido rechazada, la propuesta de resolución, por no resultar congruente con la materia objeto de la comunicación. Se desprende claramente de su contenido que sí era congruente y, por el contrario, ninguna explicación se ofrece que permita fundar la legalidad del acuerdo por dicha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recurrente, además y con alusión a las STCC 70/2009 y 155/2009, el asunto reviste especial transcendencia constitucional exigida como requisito de procedibilidad. Primero porque, aunque el Tribunal haya dictado sentencias sobre la relación entre el ius in officium de los parlamentarios y los actos de las Mesas de las Cámaras, este caso presenta novedades, pues se trata de una interpretación abiertamente contraria al Reglamento y que restringe el debate y condiciona las propuestas de resolución, aparte de enfocar cuestiones nuevas para la jurisprudencia constitucional como la falta de legitimación para delegar la intervención del Consejo de Gobierno ante la Comisión y la vulneración de la prohibición general de delegación ex art. 13.2 a) de la Ley 30/1992, de 26 de noviembre, de régimen jurídico de las Administraciones públicas y del procedimiento administrativo común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recurso suscita una cuestión jurídica que tiene “consecuencias políticas generales”. Así, en tanto amparo parlamentario, dado que no hay cauce de tutela ante la jurisdicción ordinaria, el recurso de amparo aparece como el único remedio posible, de modo que negar el acceso a él equivale a afirmar que hay áreas de ejercicio de poder público ajenas por completo a los principios constitucionales de control jurisdiccional, por lo que decidir sobre este caso permitiría al Tribunal Constitucional fijar el alcance de la potestad que el art. 215 RAM atribuye a las mesas de las comisiones y acabar así con un alto grado de indefinición, y por tanto de arbitrariedad, que deja a la voluntad de la mayoría la aplicación de dicha norma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cuanto a la legitimación, aparte de que en el encabezamiento las actoras dicen promover el recurso como “Diputadas y en su calidad de miembros del Grupo Parlamentario Socialista en la Asamblea de Madrid”, en los fundamentos de derecho de orden procesal afirman que “conforme al art. 46.1 a) LOTC, está legitimada para interponer el recurso de amparo ‘la persona directamente afectada’, esto es, los miembros del Grupo Parlamentario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acordó, por providencia de 13 de febrero de 2012, la admisión a trámite del recurso de amparo promovido contra los acuerdos de la Comisión de Medio Ambiente, Vivienda y Ordenación del Territorio adoptados en su reunión de 14 de marzo de 2011 y, de conformidad con el art. 51 de la Ley Orgánica del Tribunal Constitucional (LOTC), dirigir atenta comunicación a la Presidenta de la Asamblea de Madrid para que, en el plazo de diez días, remitiera testimonio de las actuaciones del expediente administrativo relativo a los citados acuerdos, acompañándose copia de la demanda de amparo para conocimiento de la referida comisión a efectos de la personación de la Cámara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 de marzo de 2012 tuvo entrada en el Registro General de este Tribunal testimonio del acuerdo de la Mesa de la Asamblea de Madrid, de 27 de febrero de 2012, que disponía dar traslado al Tribunal Constitucional de la fotocopia adverada del expediente solicitado y acordaba personarse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La Secretaría de Justicia de la Sala Primera de este Tribunal, por diligencia de ordenación de 6 de marzo de 2012, tuvo por recibidos los testimonios de las actuaciones remitidos por la Asamblea de Madrid y por personados a los Letrados de la misma. Asimismo, a tenor de lo dispuesto en el art. 52 LOTC, se acordó dar vista de las actuaciones por un plazo común de veinte días al Ministerio Fiscal y a las partes personadas, para que dentro de ese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recurrentes en amparo presentaron sus alegaciones en el Registro General de este Tribunal el 11 de abril de 2012, insistiendo en que la decisión de la Comisión de Medio Ambiente, Vivienda y Ordenación del Territorio “se ha realizado a partir de una interpretación restrictiva de los derechos de los parlamentarios y abiertamente contraria al Reglamento de la Asamblea de Madrid, impidiendo la existencia del debate imprescindible anterior a la adopción del acuerdo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Letrados de la Asamblea de Madrid, en escrito registrado en este Tribunal el 16 de abril de 2012, alegan, en primer lugar, varias causas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Extemporaneidad, pues dado que el plazo de interposición es de tres meses (42 LOTC) y que los acuerdos recurridos son de 14 de marzo, el recurso es extemporáneo, ya que “según el sello que figura en su primera página, tiene fecha de Registro General de ese Tribunal Constitucional de 22 de junio. Y sería extemporáneo aún en el supuesto de que la fecha que a renglón seguido se indica en el propio sello del Registro de Entrada, fuera relevante, pues es el anterior 15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legitimación activa en las actoras. En su escrito transcriben íntegros los fundamentos jurídicos 3 y 4 de la STC 98/2009, de 27 de abril, que subrayaba: “aunque entre los citados catorce Diputados solicitantes se encuentra quien a la sazón era el Portavoz del Grupo Socialista y en el encabezamiento del presente recurso de amparo figura subrayada dicha condición de Portavoz del citado grupo parlamentario, en ningún momento, ni en sede parlamentaria ni en la demanda rectora de este proceso constitucional, se ha alegado sin embargo que el citado Diputado actuara entonces y haya actuado ahora ante este Tribunal en nombre y representación del citado grupo parlamentario o en representación de los restantes Diputados firmantes de la solicitud de convocatoria y comparecencia consideradas”. Para los servicios jurídicos de la Asamblea de la Comunidad de Madrid, la condición de las demandantes de amparo que está también subrayada en el encabezamiento de la presente demanda de amparo al igual que en el supuesto de la STC 98/2009, “es una circunstancia meramente adjetiva y carente de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esa doctrina a este caso, entiende la defensa jurídica de la Asamblea de Madrid que las firmantes del recurso que eran, respectivamente, la Portavoz y la Portavoz Adjunta del Grupo Parlamentario Socialista en la Asamblea de Madrid al tiempo de adoptarse los acuerdos recurridos, ni siquiera invocan dicha condición al formalizar la acción ante este Tribunal, como tampoco dicen actuar en nombre y representación de ese grupo parlamentario o de los diputados del mismo miembros de la comisión en la que se sustanció la iniciativa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estima relevante que, mientras la condición de Portavoz del Grupo Socialista lo fue durante la VIII Legislatura, este recurso se formalizó una vez disuelta la Cámara e incluso cuando la constitución formal del Grupo Parlamentario Socialista de la Asamblea de Madrid de la IX Legislatura ya se había producido por Acuerdo de la Mesa de la Cámara en sesión del día 13 de junio de 2011. Este nuevo grupo parlamentario es bien distinto del de la VIII Legislatura como lo demuestra, entre otras cosas, que de los seis diputados miembros del Grupo Parlamentario Socialista de la VIII Legislatura que asistieron a la sesión de la Comisión sólo tres forman parte también del Grupo Parlamentario Socialista de la IX Legislatura. Presupuesto lo anterior, esto es, que no está acreditada la actuación en representación del grupo parlamentario ni de los diputados socialistas integrantes de la Comisión, la defensa jurídica de la Asamblea sostiene que las firmantes promueven el recurso a título individual, siendo por tanto determinante que, conforme se acredita por la certificación de la correspondiente unidad administrativa que adjuntan a su escrito de alegaciones, ninguna de ellas fue miembro de la comisión en la que se sustanció la iniciativa gubernamental y durante cuyo desarrollo, según la demanda, se produjo la violación del art. 23.2 CE consistente en impedir el debate con 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solicita la inadmisión porque las recurrentes no levantan la carga que les incumbe de justificar que este Tribunal haya de decidir este recurso en razón de su especial transcendencia constitucional, pues en cuanto a la novedad que las actoras alegan que subyace en este asunto, la doctrina fijada por el Tribunal en la delimitación del ius in officium de los parlamentarios en relación a la función de calificación y admisión a trámite de las mesas de las Asambleas resulta más que suficiente para resolver la cuestión suscitada, sin que sea relevante al efecto que este recurso se dirija contra acuerdos de la Mesa de una comisión, pues pueden reputarse sus funciones en todo punto análogas a las de la Mesa de la Cámara. Y frente a los elementos que, según la demanda, justificarían el pronunciamiento del Tribunal, notan que en realidad las actoras plantean divergencias en cuanto a la interpretación del Reglamento de la Asamblea de Madrid, no sobre cómo la misma podría afectar, en un concreto caso, a una faceta de un derecho fundamental. Y otro tanto cabe decir, en su opinión, sobre la capacidad de delegación por parte de las Administraciones públicas de los asuntos referidos a las Asambleas y sobre la prohibición general de delegación ex art. 13.2 a) LPC, pues se trata de cuestiones de mera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otro lado, los servicios jurídicos de la Asamblea niegan que este recurso conlleve una cuestión que tenga “consecuencias políticas generales”, pues no se sostiene que todo amparo parlamentario, por el mero hecho de no haber tutela posible ante la jurisdicción ordinaria, sea de especial transcendencia constitucional, ya que es claro que los arts. 49 y 50.1 b) LOTC imponen a todas las categorías del recurso de amparo constitucional, sin excluir los que se articulan por el cauce del art. 42 LOTC, la necesidad de justificar aquélla en la demanda, ya que las actoras no explican cuál es la conexión lógica entre esa singularidad procesal y las consecuencias políticas generales de la cuestión jurídica planteada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parte, la demanda vuelve a colocarse en el ámbito de la legalidad ordinaria al ubicar las “consecuencias políticas generales” en la posibilidad de fijar el alcance de la potestad atribuida por el art. 215 RAM y de la capacidad de delegación por parte de los órganos administrativos de sus competencias referidas a las Asambleas Legislativas, por lo que “si bien el recurso planteado por los aquí demandantes de amparo no se encuentra totalmente huérfano de esa argumentación en la mención de la especial transcendencia constitucional, la misma tampoco pone en conexión las vulneraciones constitucionales alegadas con los criterios del art. 50.1.b) LOTC”, concluyendo que es manifiesta la “confusión entre el cumplimiento de la carga de justificar la trascendencia constitucional del amparo y la exposición de las alegaciones de fondo” y, en consonancia con ello, que los motivos alegados en la demanda no son suficientes para cumplir con el presupuesto procesal consistente en justificar la “especial trascendencia constitucional” del recurso, procediendo por tanto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fondo del asunto, los servicios jurídicos de la Asamblea alegan que la Mesa de la Comisión al aceptar que la comparecencia del Consejo de Gobierno fuese a través del Director General de Medioambiente se ajustó al Reglamento de la Cámara y no ocasionó merma alguna a los derechos reconocidos ex art. 23.2 CE. En efecto, consta un acuerdo inicial de la Mesa de la Asamblea, máximo órgano rector de la misma (art. 48.1 RAM), apoderando a la Mesa de la Comisión para organizar la tramitación de la iniciativa conforme a lo previsto en el art. 215 RAM para los planes y programas remitidos por el Consejo de Gobierno, pues el art. 215.3 RAM dice que “sin perjuicio de lo dispuesto en los apartados anteriores, la Mesa de la Comisión competente organizará la tramitación de los programas y planes del Consejo de Gobierno y fijará los plazos de la misma”. Así, dado que los arts. 213 y 214 RAM no prohíben expresamente que el Consejo de Gobierno comparezca mediante un alto cargo del área de que se trate, es la Mesa de la Comisión, en virtud de la genérica potestad de organización derivada del 215.3 RAM, quien puede aceptar o no posibles delegaciones del acto de la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Así, el acuerdo de la Mesa de la Comisión, en el ejercicio de las potestades nacidas del art. 215.3 RAM, entendió suficiente la remisión del escrito del Viceconsejero de Presidencia y Secretario General del Consejo de Gobierno de 11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frente a la tesis mantenida en el escrito de demanda, el art. 13.2 a) LPC ni forma parte de la “configuración legal” del ius in officium, que según la doctrina constitucional se materializa en los reglamentos de las Asambleas, ni puede prevalecer frente al Reglamento de la Asamblea de Madrid, que consiente, en los términos de la integración realizada por la Mesa de la Comisión, que pueda comparecer un alto cargo en comisión por delegación del miembro correspondiente del Consejo de Gobierno, lo que tiene el valor de los usos parlamentarios (STC 190/2009, FJ 4), que si bien ceden ante la norma reglamentaria sí permiten completar sus imprevisiones, primando en todo caso sobre otro tipo de preceptos legales como el art. 13.2 a)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Tampoco es cierto que se hurtase el debate parlamentario, pues éste se celebró en la sesión de la Comisión de 14 de marzo de 2011 y cumplió su doble finalidad informativa de la propuesta de declaración presentada ante la misma y de contraposición de posiciones políticas entre el Gobierno y los grupos parlamentarios representados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Otro tanto cabe decir, según esta parte, sobre la circunstancia que la Mesa de la Comisión, en uso de la potestad de organización ex art. 215.3 RAM, acordase que las propuestas de resolución hubieran de ser de aceptación o rechazo global, pues, como razonó el Secretario General en su informe de 3 de marzo de 2011, que a su vez cita la Mesa como fundamento de su decisión, “dado que se trata de una propuesta común de las Comunidades afectadas, el contenido de las propuestas de resolución habrán de ceñirse a la aprobación o rechazo en bloque de la iniciativa, de forma análoga a lo previsto en el art. 179.5 RAM sobre autorización de acuerdos o convenios de cooperación”, resaltando que la identidad de razón que justifica la analogía es que ambas iniciativas exigen, de un lado, el concierto de voluntades de al menos dos Comunidades Autónomas y, de otro, que concurra con ese acuerdo la voluntad de las Cortes Generales, autorizando o recibiendo sin objeción el convenio de cooperación en un caso y, en el otro, tramitando como proyecto de ley en los términos del art. 10 de la Ley 5/2007 la propuesta conjunta de las Comunidades Autónomas afectadas de que se declare un espacio natural como parque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una vez sentado que se ajusta al reglamento este acuerdo sobre la forma de la propuesta de resolución a presentar por los grupos parlamentarios, es evidente que, habida cuenta que el art. 214.2 RAM dispone que la Mesa de la Comisión “admitirá a trámite únicamente aquellas que sean congruentes con la materia objeto de la comunicación”, la decisión de inadmitir la registrada por el Grupo Socialista porque al no ser de aceptación o rechazo global es incongruente, es acorde con el reglamento y, por ello, no lesiona ninguna de las facetas de los derechos alegados por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Estas alegaciones formuladas por la defensa jurídica de la Asamblea Legislativa terminan con dos afirmaciones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que “aunque a efectos puramente dialécticos sostuviéramos que se hubiera producido una infracción de dicha norma, necesariamente habríamos de negar que la misma haya afectado al núcleo de la función representativa protegido por el art. 23 CE”, pues la presentación de propuestas de resolución sobre un plan del Gobierno no figura entre las facultades que este Tribunal ha identificado como integrantes de ese núcleo, ya que, “a diferencia de todas las categorías de iniciativas parlamentarias que aparecen en tal listado, esas propuestas de resolución son vicariales o subsidiarias de una iniciativa de la que sería autor el Gobierno y que éste habría presentado con anterioridad”. De ahí que la Mesa de la Comisión disponga de las potestades de “vigilancia de la congruencia material y formal de las propuestas de resolución con la propuesta de declaración planteada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que “debemos negar igualmente que haya existido arbitrariedad en esos Acuerdos, a la vista de que la argumentación contenida en los Informes jurídicos citados, los cuales obran en el expediente, sirvió en todo momento de motivación a aquéllos, respaldándolos conforme a la interpretación que efectuaban del Reglamento y a los precedentes parlamentarios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que registró sus alegaciones en este Tribunal el 23 de abril de 2012, solicita el otorgamiento del amparo sobre la base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cita extensa de la STC 57/2011, sintetiza la doctrina constitucional sobre el derecho invocado por las recurrentes (el recogido en el art. 23.2 CE en relación al art. 23.1 CE), resaltando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sólo garantiza el acceso igualitario a las funciones y cargos públicos, sino también su desempeño de conformidad con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trata de un derecho de configuración legal, configuración que se efectúa en los reglamentos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cualquier acto que infrinja la legalidad del ius in officium lesiona el derecho fundamental, pues sólo poseen relevancia constitucional a estos efectos los derechos o facultades que pertenezcan al núcleo de la función representativa parlamentaria, como son, indudablemente, el ejercicio de la función legislativa o el de control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impone el deber de motivar las decisiones que limiten tal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contraposición al informe del Secretario General de la Asamblea, según el que la propuesta de resolución habría de ser necesariamente de rechazo o aceptación global en recta analogía con el art. 179.5 RAM (integrado en su título IX sobre “Convenios y Acuerdos de cooperación de la Comunidad de Madrid”), el Fiscal califica la naturaleza de lo que era objeto de tramitación en la Asamblea de Madrid diciendo que “estamos en presencia de una iniciativa legislativa que corresponde a la Comunidad Autónoma, y que requiere, para su posterior tramitación como proyecto de ley en Las Cortes Generales, de su aprobación por las respectivas Asambleas Legislativas. Esta posibilidad de iniciativa legislativa de la Asamblea de Madrid no es desconocida por su Reglamento, en cuyo título VIII, bajo la rúbrica ‘De la solicitud al Gobierno de la adopción de Proyectos de Ley y de la remisión al Congreso de los Diputados de proposiciones de Ley’ contiene un procedimiento parlamentario a tal efecto. (arts. 175 a 177 RAM)” y todo ello le lleva a sostener que “se aprecia así una semejanza sustancial entre la tramitación de la Propuesta de Declaración de Parque Nacional de la Ley 5/2007, de 3 de abril, y las solicitudes de remisión al Gobierno de Proyectos de Ley a instancia de la Asamblea, de modo que, analógicamente [dado que los arts. 213 y 214 RAM no precisan de qué tipo ha de ser la propuesta de resolución], cabría aplicar el procedimiento que prevé el Reglamento y, en consecuencia, dado que el art. 176.1 RAM remite al procedimiento legislativo común, aplicar el mismo que prevé la posibilidad de presentar enmiendas a los proyectos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sigue el Fiscal, “el contenido de la propuesta de resolución del Grupo Parlamentario Socialista evidencia la necesidad no solo de un debate, sino de que las modificaciones, adicciones o supresiones a la Propuesta del Consejo de Gobierno puedan ser votadas autónoma y aisladamente”, y concluye reconociendo, a raíz de los razonamientos anteriores, que no conteniendo límite alguno los arts. 213 a 215 RAM, que fue el procedimiento elegido por la Comisión para la tramitación de la propuesta, la interpretación realizada por la Mesa de la Comisión, fundada en el informe del Secretario General de 3 de marzo de 2011, es restrictiva para el ejercicio del ius in officium que asiste a los diputados miembros de la Comisión de modo que impide el ejercicio pleno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segundo de los acuerdos pretendidamente lesivos, el Fiscal afirma que, dado que los arts. 213 y 214 RAM no se refieren a delegación alguna por parte del Consejo de Gobierno, una interpretación gramatical de la norma reglamentaria da la razón al recurrente, pero una interpretación sistemática de la normativa reglamentaria permitiría llegar a concluir que sería aplicable el art. 209.4 RAM que permite, en relación con la comparecencia de los miembros del Consejo de Gobierno ante las comisiones, “delegar cada comparecencia ante la comisión correspondiente en los altos cargos de sus respectivos departamentos, previa autorización concedida al efecto por la Mesa de la Comisión competente”. No obstante, el Fiscal acaba descartando que esa analogía quepa en este caso al tratarse el objeto del debate de una iniciativa legislativa y no de una mera pregunta oral efectuada a un miembro del Consejo de Gobierno, con lo que falta la necesaria identidad de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todo caso, el Fiscal expone que la prohibición de delegación, ex 13.2 a) LPC, pugna con la autonomía de las Cámaras Legislativas para regular su propio funcionamiento y constata que esta clase de delegaciones no son ajenas a ninguno de los Reglamentos de las Asambleas Legislativas. A pesar de ello, sigue diciendo, en este caso la naturaleza de iniciativa legislativa del acto sometido a votación y la transcendencia del debate “impone que sean los órganos políticos que asumieron y tramitaron la propuesta ante la Asamblea Legislativa quienes respondan las preguntas y objeciones de los diferentes Grupos Parlamentarios presentes en la Comisión, esto es, el miembro correspondiente del Consejo de Gobierno, de modo que la aplicación e interpretación de la normativa reglamentaria por la Mesa de la Comisión, en su Acuerdo de 14 de marzo de 2011, no ha sido la más favorable a la eficacia de las facultades que se integran en el ius in officium de los hoy recurrentes”. No son obstáculo a ello, termina diciendo el Fiscal, “los distintos precedentes parlamentarios de delegación de miembros del Consejo de Gobierno para comparecer ante las Comisiones a los que se refiere el informe de la Secretaría General de 14 de marzo de 2011, pues los mismos en cuanto usos parlamentarios, sin perjuicio de encontrar en el mismo reglamento su límite, no pueden impedir u obstaculizar desproporcionadamente las facultades reconocidas a los parlamentarios en el ejercicio de sus funciones constitucionalmente garantizadas (STC 57/2011,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septiembre de 2012 se señaló para deliberación y fallo de la presente Sentencia el día 1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promueve por doña Carmen Menéndez González-Palenzuela y doña Rosa María Alcalá Chacón, “Diputadas y en su calidad de miembros del Grupo Parlamentario Socialista en la Asamblea de Madrid”, contra los acuerdos de la Mesa de la Comisión de Medio Ambiente, Vivienda y Ordenación del Territorio de dicha Asamblea de 14 de marzo de 2011, que dispusieron, de un lado, aceptar que el Consejo de Gobierno de la Comunidad de Madrid delegase en el Director General de Medio Ambiente la comparecencia sobre la propuesta de declaración del parque nacional de las Cumbres de la Sierra de Guadarrama y, de otro, que las propuestas de resolución sobre la cuestión hubieran de ser de aceptación o rechazo global, inadmitiendo por ello la propuesta de modificación registrada por el Grupo Socialista y el recurso de amparo se promueve por la vía del artículo 42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posiciones de las partes, expuestas en los antecedentes, son, sintéticamente,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recurrentes consideran que los acuerdos impugnados, con desconocimiento de los términos en que los arts. 213 a 215 del Reglamento de la Asamblea de Madrid (RAM) configuran el ius in officium, impiden el debate parlamentario, bien porque lo reducen a aceptar o rechazar globalmente una propuesta, bien porque imposibilitan que el debate se produzca con el Consejo de Gobierno, lesionando así el derecho fundamental de los parlamentarios al ejercicio de las funciones y cargos públicos representativos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Letrados de la Asamblea de Madrid instan la inadmisión de este recurso de amparo por extemporáneo, por falta de legitimación de las actoras y porque, en su criterio, los razonamientos consignados al efecto en la demanda no son suficientes para levantar la carga de justificar la especial transcendencia constitucional que reviste este asunto. Subsidiariamente, en virtud de los argumentos detallados en los antecedentes, solicitan la desestimación íntegra de los motivos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nada dice de los óbices procesales suscitados por la representación de la Asamblea de Madrid y entiende que se “habría vulnerado el derecho de los recurrentes del art. 23.2 CE”. El Fiscal califica la naturaleza de lo que era objeto de tramitación en la Asamblea de Madrid como un supuesto de iniciativa legislativa, de donde deriva, de un lado, que es aplicable el art. 176.1 RAM que remite al procedimiento legislativo común con su posibilidad de presentar enmiendas y, de otro, que, aunque en otros casos fuese posible la delegación de la comparecencia del Consejo de Gobierno en un director general, en éste no lo sería por la transcendencia de lo que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 las cuestiones planteadas en la demanda es necesario verificar la concurrencia de los presupuestos procesales para la viabilidad del recurso, en particular aquellos respecto de los que los Letrados de la Asamblea de Madrid formulan objeciones.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análisis no encuentra obstáculo en el momento procesal en que nos hallamos, pues, según este Tribunal ha declarado repetidamente “los defectos insubsanables de que pudiera estar afectado el recurso de amparo no resultan sanados por que la demanda haya sido inicialmente admitida, de modo que la comprobación de los presupuestos procesales para la viabilidad de la acción puede siempre abordarse en la Sentencia, de oficio o a instancia de parte, pudiendo dar lugar a un pronunciamiento de inadmisión por falta de tales presupuestos, sin que a ello sea obstáculo el carácter tasado de los pronunciamientos previstos en el art. 53 LOTC” (por todas, SSTC 7/2007, de 15 de enero, FJ 2; 242/2007, de 10 de diciembre, FJ 2; y 43/2008, de 10 de marzo; FJ 2; 28/2011, de 14 de marzo, FJ 3; 29/2011 de 14 de marzo, FJ 3; y 69/2011, de 16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juicio de la representación de la Asamblea de Madrid, dado que el plazo de interposición es de tres meses (42 LOTC) y que los acuerdos recurridos son de 14 de marzo, el recurso es extemporáneo, pues, “según el sello que figura en su primera página, tiene fecha de Registro General de ese Tribunal Constitucional de 22 de junio. Y sería extemporáneo aún en el supuesto de que la fecha que a renglón seguido se indica en el propio sello del Registro de Entrada, como ‘Otros’, fuera relevante, pues es el anterior 15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a falta de previsión reglamentaria de un recurso de reposición, los acuerdos impugnados son firmes desde el mismo día 14 de marzo, resulta evidente que la entrada en el Registro General de ese Tribunal Constitucional el 22 de junio está fuera del plazo de tres meses previsto en el art. 42 LOTC, de donde se sigue que lo determinante para decidir sobre este óbice es si ha de reconocerse alguna relevancia al sello que atestigua que el 15 de junio anterior se presentó la demanda en el servicio de registro central de los Tribunales civiles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28/2011, de 14 de marzo, recapitula la doctrina constitucional sobre la cuestión, señalando que tanto antes como después de la reforma de la Ley Orgánica de este Tribunal operada por la Ley Orgánica 6/2007, de 24 de mayo, la regla es la presentación de la demanda de amparo en la sede de este Tribunal, admitiéndose solo como excepción la posibilidad de presentarla en otro lugar, excepción que la redacción vigente de la Ley Orgánica del Tribunal Constitucional regula de un modo preciso en su art. 85.2, según el que “los recursos de amparo podrán también presentarse hasta las 15 horas del día hábil siguiente al del vencimiento del plazo de interposición, en el registro del Tribunal Constitucional, o en la oficina o servicio de registro central de los tribunales civiles de cualquier localidad, de conformidad con lo establecido en el artículo 135.1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Constando que el sello de 15 de junio de 2011 es del servicio de registro central de los Tribunales civiles de Madrid, lo único que queda por examinar para concluir que se dan las circunstancias que hacen entrar en juego la excepción referida es si dicho día 15 de junio era el “día hábil siguiente al del vencimiento del plazo de interposición”. Partiendo de que el art. 80 LOTC prevé la aplicación supletoria de los preceptos de la Ley Orgánica del Poder Judicial (LOPJ) en materia de cómputo de plazos y que a su vez el art. 185 LOPJ remite a la regulación de este extremo que hace el Código civil (CC) el corolario necesario es que un plazo fijado por meses, como es el previsto en el art. 42 LOTC para promover un amparo parlamentario, se computa de fecha a fecha (art. 5.1 CC), regla de cómputo en la que el día del vencimiento será el correlativo mensual al de la notificación o publicación y en este caso la comunicación de los acuerdos impugnados se produjo el día 14 de marzo de 2011 y el día de vencimiento del plazo de tres meses para promover el recurso de amparo sería el 14 de junio de 2011, de modo que el 15 de junio de 2011 sí es el “día hábil siguiente al del vencimiento del plazo de interposición”, lo que nos conduce a afirmar que la demanda de amparo se presentó en lugar y tiempo oportunos y, en consecuencia, a rechazar el primero de los óbices procesales que suscitan los Letrados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de los óbices procesales alegados, a juicio de la representación de la Asamblea de Madrid, consiste en subrayar que las Diputadas actoras carecen de legitimación para promover este recurso de amparo. Para resolver sobre esta cuestión, tal y como argumentan en su escrito de alegaciones los Letrados de dicha Asamblea, es de la mayor relevancia el análisis de la doctrina constitucional establecida en la STC 98/2009, de 27 de abril, pues en aquel asunto los recurrentes eran cuatro diputados, entre los que se encontraba quien a la sazón era el Portavoz del Grupo Socialista, condición que además aparecía subrayada en el encabezamiento del recurso de amparo. Sin embargo, resalta esta Sentencia, en ningún momento se alegó que el citado diputado actuase “ante este Tribunal en nombre y representación del citado grupo parlamentario o en representación de los restantes diputados firmantes de la solicitud de convocatoria y comparecencia consideradas”, lo que le lleva a “concluir que la condición del demandante de amparo, de Portavoz del Grupo Socialista, que está también subrayada en el encabezamiento de la presente demanda de amparo, es una circunstancia meramente adjetiva y carente de consecuencias jurídicas” (FJ 3), de modo que su intervención como demandante de amparo ha de entenderse a título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las Diputadas señora Menéndez y señora Alcalá ostentaban al tiempo de adoptarse los acuerdos recurridos la condición respectiva de Portavoz y Portavoz Adjunta del Grupo Parlamentario Socialista en la Asamblea de Madrid. Ahora bien, no sólo no invocan dicha condición al formalizar la acción ante este Tribunal sino que, además, a la luz de la doctrina fijada en la citada STC 98/2009, en ningún momento dicen disponer de un apoderamiento que les permita actuar ante este Tribunal en nombre y representación de ese grupo parlamentario o de los diputados del mismo miembros de la comisión en la que se sustanció la iniciativa considerada, pues las Diputadas recurrentes se limitan a decir, tanto en el encabezamiento del recurso de amparo como en el apartado donde razonan sobre su legitimación, que promueven el recurso de amparo en “su calidad de miembros del Grupo Parlamentario Socialista en la Asamblea de Madrid”. De lo anteriormente razonado, y sin necesidad de entrar en la vexata quaestio de si los grupos parlamentarios subsisten o no una vez disueltas las Cámaras, no cabe sino concluir que las Diputadas señora Menéndez y señora Alcalá promueven el presente recurso de amparo a título individual, y partiendo de esta premisa hemos de examinar si concurre en ellas la necesaria legitimación ad causam, que según el art. 46.1 LOTC viene determinada por ser “persona directamente afectada”, basándonos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tal como se detalló en los antecedentes, en aplicación de los arts. 213 y 214 RAM, a los que remite el art. 215.2 RAM, la intervención en el debate mantenido con el representante del Consejo de Gobierno estuvo a cargo de un portavoz de cada grupo parlamentario y, al finalizar el debate, la presentación de propuestas de resolución también correspondió a los grupos parlamentarios a través de sus portavoces, de donde se sigue que es el Grupo Parlamentario Socialista en la Asamblea de Madrid el que, desde esta óptica, es la persona directamente afectada por las decisiones de la Mesa de la Comisión de Medio Ambiente, Vivienda y Ordenación del Territorio, al aceptar que la comparecencia del Consejo de Gobierno se realizó mediante el Director General de Medio Ambiente y ser las propuestas de resolución obligatoriamente de aprobación o rechazo global, inadmitiendo en consecuencia la de modificación registrada por el portavoz de aquel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Diputadas recurrentes, a pesar de ser miembros del Grupo Socialista, actuaron ante este Tribunal a título individual y no como representantes del mismo, por lo que carecen de la conexión de interés jurídico con la materia objeto de impugnación que es imprescindible conforme al art. 46.1 LOTC para que les reconozcamos legitimación para sostener este recurso de amparo. En efecto, la sola condición de miembros de un grupo parlamentario no es suficiente para arrogarse la defensa de los derechos del grupo a que pertenecen, pues de lo contrario cada uno de los diputados de un grupo sería titular de una facultad impugnatoria que podría ejercitar individualmente, incluso en contra de la posible voluntad de los otros diputados del mismo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es doctrina constante de este Tribunal (por todas, las SSTC 42/1985, de 15 de marzo; 150/1990, de 4 de octubre; 98/2009, de 27 de abril y AATC 56/1999, de 9 de marzo y 244/2000 de 17 de octubre) que sólo la actuación unitaria de quienes dieron lugar a la constitución de la agrupación puede expresar válidamente su voluntad en el curso del correspondiente proceso, por lo que cada diputado no es titular de la facultad impugnatoria de la que puede disponer individualmente para pretender cuestionar por separado la decisión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cierto que a cada uno de los diputados que formaban parte de la Comisión de Medio Ambiente, Vivienda y Ordenación del Territorio, les asistía el derecho de votar a favor o en contra de las propuestas de resolución que, terminado el debate con el representante del Consejo de Gobierno, presentasen los portavoces de los grupos parlamentarios, pero el dato determinante es que, conforme se acredita por la certificación aportada por la representación de la Asamblea de Madrid junto a su escrito de alegaciones, ninguna de las dos Diputadas recurrentes fue miembro de la Comisión en la que se sustanció la iniciativa gubernamental y durante cuyo desarrollo, según la demanda, se produjo la violación del art. 23.2 CE consistente en impedir el debate con el Consejo de Gobierno y restringir las propuestas de resolución que cabía presentar.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ello, las recurrentes, dado que ni eran miembros de tal comisión ni alegan disponer de apoderamiento de uno o varios de los diputados que sí lo fueron que les permitiera actuar en su nombre, carecían de la necesaria legitimación para recurrir ante este Tribunal las decisiones de la Mesa de la Comisión de Medio Ambiente, Vivienda y Ordenación del Territorio que son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expuestos conducen a estimar que no concurre uno de los presupuestos procesales imprescindibles para la viabilidad de la acción, concretamente la legitimación de las recurrentes, por lo que procede inadmitir el presente recurso de amparo y no entrar a considerar las alegaciones de fondo que plantea.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doña Carmen Menéndez González-Palenzuela y doña Rosa María Alcalá Chacón.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