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3604-2011, promovido por doña Carmen Menéndez González-Palenzuela y doña Rosa María Alcalá Chacón, representadas por el Procurador de los Tribunales don Jorge Laguna Alonso y asistido por el Abogado don Wilfredo Jurado Rodríguez, contra los acuerdos de la Mesa de la Comisión de Medio Ambiente, Vivienda y Ordenación del Territorio de la Asamblea de Madrid de 14 de marzo de 2011, que dispusieron, de un lado, aceptar que el Consejo de Gobierno de la Comunidad de Madrid delegase en el Director General de Medio Ambiente la comparecencia sobre la propuesta de declaración del parque nacional de las Cumbres de la Sierra de Guadarrama y, de otro, que las propuestas de resolución sobre esa cuestión hubieran de ser de aceptación o rechazo global, inadmitiendo por ello la propuesta de modificación registrada por el Grupo Socialista. Han comparecido los Letrados de la Asamblea de Madrid en nombre de ésta. Ha intervenido el Ministerio Fiscal. Ha sido Ponente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22 de junio de 2011 y presentado en el servicio de registro central de los Tribunales civiles de Madrid el día 15 de junio de 2011, el Procurador de los Tribunales don Jorge Laguna Alonso, en nombre y representación de doña Carmen Menéndez González-Palenzuela y de doña Rosa María Alcalá Chacón, “Diputadas y en su calidad de miembros del Grupo Parlamentario Socialista en la Asamblea de Madrid”, interpuso demanda de amparo contra los acuerdos de la Mesa de la Comisión de Medio Ambiente, Vivienda y Ordenación del Territorio de dicha Asamblea de 14 de marzo de 2011, que dispusieron, de un lado, aceptar que el Consejo de Gobierno de la Comunidad de Madrid delegase en el Director General de Medio Ambiente la comparecencia sobre la propuesta de declaración del parque nacional de las Cumbres de la Sierra de Guadarrama y, de otro, que las propuestas de resolución sobre esa cuestión hubieran de ser de aceptación o rechazo global, inadmitiendo por ello la propuesta de modificación registrada por el Grupo Socialista.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Dentro del proceso para la declaración como parque nacional de un espacio natural, regulado por la Ley 5/2007, de la red de parques nacionales destacan las siguientes determinaciones. Art. 10.1: “La declaración de Parque Nacional … se hará por Ley de las Cortes Generales”; art. 10.3: “La iniciativa … corresponde al órgano que determine la Comunidad Autónoma o al Gobierno del Estado. En todo caso, la iniciativa se formalizará mediante la aprobación inicial de la propuesta por las Comunidades Autónomas en cuyo territorio se encuentren situados”; art. 10.5: “La propuesta, tras su aprobación inicial, será sometida a trámite de información pública …”; y 10.6: “Finalizado el trámite anterior, la propuesta será sometida a la Asamblea Legislativa de la Comunidad o Comunidades Autónomas afectadas y, tras obtener su acuerdo favorable, será trasladada al Ministerio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18 de noviembre de 2009 se firmó un Protocolo general de colaboración entre la Comunidad Autónoma de Madrid y la Comunidad Autónoma de Castilla y León habida cuenta del ámbito territorial al que se extiende la declaración del parque nacional, que contenía la propuesta de declaración del parque nacional de las Cumbres de la Sierra de Guadarrama, acordando el Consejo de Gobierno de la Comunidad de Madrid en su reunión de 17 de febrero de 2011 dar traslado de tal propuesta a la Asamblea Legislativa de esta Comunidad Autónoma a los efectos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22 de febrero de 2011 se acordó, por la Presidencia de la Cámara, requerir a la Secretaría General un informe jurídico respecto de la tramitación de dicha propuesta, que ésta evacuó el 3 de marzo concretando los siguientes puntos: “verificado el cumplimiento de los trámites previos, la Asamblea de Madrid deberá tramitar la propuesta recibida. Como es lógico, por respeto a la autonomía parlamentaria, la Ley 5/2007 no fija el procedimiento, sino que se limita a exigir, a efectos de continuar la tramitación, que las Asambleas Legislativas de las Comunidades Autónomas afectadas aprueben la propuesta de sus respectivas Comunidades, de modo que será la normativa interna la que determine el tipo de procedimiento parlamentario que haya de aplicarse. En el caso de la Asamblea de Madrid, a falta de un procedimiento específico, por lo demás no imprescindible, el precepto reglamentario que parece más acorde con las competencias de la Cámara, que no se limitan a las de mero debate o examen, sino que requieren un pronunciamiento expreso favorable sobre la propuesta para que ésta pueda prosperar, es el art. 215 RAM [Reglamento de la Asamblea de Madrid, aprobado por el Pleno el 30 de enero de 1997], previsto para el caso de que ‘el Consejo de Gobierno remitiera un programa o un plan requiriendo el pronunciamiento de la Asamblea’. En principio, el Reglamento da preferencia a la tramitación de tales propuestas en comisión, de manera que la Mesa de la Cámara debe ordenar su envío a la que considere competente, en este caso la de Medio Ambiente, Vivienda y Ordenación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informe concluía subrayando que “dado que se trata de una propuesta común de las dos Comunidades afectadas, articulada en torno a un Protocolo General de Colaboración, firmado el 18 de noviembre de 2009, el contenido de las propuestas de resolución habrán de ceñirse a la aprobación o rechazo en bloque de la iniciativa, de forma análoga a lo previsto en el art. 179.5 RAM sobre autorización de acuerdos o convenios de cooperación. En todo caso será la Mesa de la Comisión la que deba organizar la tramitación de la iniciativa y fijar los plazos correspondientes (art. 215.3 RAM)”.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Mesa de la Asamblea de Madrid, reunida el 9 de marzo de 2011, acordó “dar traslado a la Comisión de Medio Ambiente, Vivienda y Ordenación del Territorio, para que la Mesa de la citada Comisión, en los términos establecidos en el art. 215 del Reglamento de la Asamblea, proceda a la tramitación de la iniciativa y a la fijación de los plazos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10 de marzo de 2011 tuvo lugar sesión de la Mesa de la citada comisión (Presidente, Vicepresidente y Secretaria), a la que asistieron además los portavoces de los grupos parlamentarios en esa comisión, acordándose alterar el orden del día de la comisión convocada para el 14 de marzo siguiente, incluyendo como primer punto del orden del día la tramitación de la iniciativa que nos ocupa y en dicho acto el Letrado de la Comisión repartió la propuesta de declaración de parque nacional de las Cumbres de la Sierra de Guadarrama, el acuerdo de la Mesa de la Asamblea de Madrid de 9 de marzo de 2011 y el informe jurídico de la Secretaría General de 3 de marzo de 2011. El Portavoz del Grupo Parlamentario Socialista mostró su disconformidad con la limitación de las propuestas de resolución a una mera aceptación o rechazo globales de la propuesta según se deducía del informe del Secretario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14 de marzo de 2011 se registró en la Asamblea un escrito del Viceconsejero de Vicepresidencia y Secretario General del Consejo de Gobierno de la Comunidad de Madrid por el que se comunica, a los efectos parlamentarios procedentes, que el Director General del Medio Ambiente presentará la propuesta ante la Comisión de Medio Ambiente, Vivienda y Ordenación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y portavoces de la Comisión, el mismo 14 de marzo, y de conformidad con informe del Secretario General, acuerda “que sólo quepa presentar propuestas de resolución de los Grupos parlamentarios que supongan una aceptación o rechazo global del contenido de la Propuesta de Declaración de Parque Nacional de las Cumbres de la Sierra de Guadarrama, con el voto en contra del Vicepresidente”, que era diputado del Grupo Socialista. El Portavoz (en la citada comisión) del Grupo Parlamentario Socialista plantea un nuevo debate sobre si cabe o no delegación por parte del Consejo de Gobierno en un director general para explicar ante la Comisión la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Mesa solicitó informe jurídico sobre esa cuestión, suspendiendo la sesión y según el informe, la delegación “es viable, siempre que la Mesa de la Comisión competente decida autorizarla. Es decir, se trata de una mera propuesta que el Consejo de Gobierno formula a la Cámara, en cuyo seno es el órgano rector de la Comisión quien ostenta la competencia decisoria. Así se colige del art. 215, en relación con los arts. 213 y 209.4 RAM” y añade el informe: “Nuestro ordenamiento establece una prohibición general de delegación por parte de los órganos de las diferentes Administraciones públicas de los asuntos que se refieren a la relación con las Cortes Generales y las Asambleas Legislativas de las Comunidades Autónomas [art. 13 a) de la Ley 30/1992, de 26 de noviembre]. Excepción a dicha interdicción es la regla, generalmente afirmada en el derecho parlamentario, por la que se admite que los miembros del Consejo de Gobierno deleguen su intervención en los debates parlamentarios que se celebren en Comisión. Así, en el ámbito de la Asamblea de Madrid, el art. 209.4 prescribe que ‘los miembros del Consejo de Gobierno podrán delegar cada comparecencia ante la comisión correspondiente en los altos cargos de sus respectivos departamentos, previa autorización concedida al efecto por la Mesa de la Comisión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informe de los servicios jurídicos de la Asamblea concluye reconociendo que existen precedentes en los que un plan o comunicación del Consejo de Gobierno han sido sustanciados compareciendo, por delegación, un alto cargo de la Consejería, no un miembro del Consejo de Gobierno y detalla a continuación alguno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reanudación de la sesión, y en la línea del informe jurídico, se admitió la delegación comunicada por el Consejo de Gobierno con los votos a favor del Presidente y la Secretaría de la Mesa y en contra del Vicepresidente.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También el mismo día 14 de marzo se celebró la reunión de la Comisión y consta en el acta 34-2011 que se inició, según prevé el art. 213 RAM (el art. 215.2 RAM remite en cuanto al debate en comisión de las comunicaciones del Consejo de Gobierno a lo previsto en los arts. 213 y 214 RAM), con un debate sustanciado con la intervención sucesiva del Consejo de Gobierno (del Director General del Medio Ambiente, por delegación), de un representante de cada grupo parlamentario, del Consejo de Gobierno para contestar a los grupos parlamentarios de forma global, de los representantes de los grupos parlamentarios para replicar y, finalmente, del Consejo de Gobierno para cerrar el debate. Terminado el debate, en los términos del art. 214.1 RAM, se abrió un plazo para que los grupos parlamentarios presentasen propuestas de resolución ante la Mesa de la Comisión, que admitió a trámite la del Grupo Parlamentario Popular (de aceptación global) y la del Grupo Parlamentario de Izquierda Unida (de rechazo total) por ser “congruentes con la materia objeto de la comunicación” (art. 214.2 RAM) e inadmitió la registrada por el Portavoz en la Comisión del Grupo Parlamentario Socialista (de modificación) expresando éste su disconformidad diciendo que “las propuestas deben ser debatidas” (“Diario de Sesiones de la Asamblea de Madrid” núm. 850-14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sostiene que los acuerdos de la Mesa de la Comisión de Medio Ambiente, Vivienda y Ordenación del Territorio adoptados en su sesión de 14 de marzo de 2011 lesionan el derecho fundamental consagrado en el art. 23.2 CE, en relación con los arts. 213 a 215 RAM y subraya, en primer lugar, que es doctrina constitucional que dicho derecho no se agota en el acceso al cargo sino que abarca el ejercicio de la función representativa (STC 32/1985, de 6 de marzo), y que este ius in officium es de configuración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subraya la demanda que respecto de los preceptos que sirven de base a los acuerdos en que se centra la lesión, art. 213 RAM, al que remite el art. 215 RAM, “no está prevista delegación alguna por parte del Consejo de Gobierno de su comparecencia en comisión”, y que la lesión se produce “máxime si la delegación no existe, como es el caso (ausencia de acuerdo expreso para dicha delegación)”. La demanda concluye reconociendo que “la delegación realizada tendente a impedir el debate parlamentario con el Consejo de Gobierno en el procedimiento establecido por el art. 212 y ss. RAM vulnera 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otro acuerdo, luego de copiar el art. 214 RAM, la demanda afirma que, según ese precepto, “las propuestas de resolución que los grupos presenten no han de ser de aceptación o rechazo. La inadmisión por esa razón de la propuesta planteada por mi mandante vulnera el derecho fundamental de acceso al cargo previsto en el art. 23.2 CE. De igual manera se produce vulneración por haber sido rechazada, la propuesta de resolución, por no resultar congruente con la materia objeto de la comunicación. Se desprende claramente de su contenido que sí era congruente y, por el contrario, ninguna explicación se ofrece que permita fundar la legalidad del acuerdo por dicha razón”.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parte recurrente, además y con alusión a las STCC 70/2009 y 155/2009, el asunto reviste especial transcendencia constitucional exigida como requisito de procedibilidad. Primero porque, aunque el Tribunal haya dictado sentencias sobre la relación entre el ius in officium de los parlamentarios y los actos de las Mesas de las Cámaras, este caso presenta novedades, pues se trata de una interpretación abiertamente contraria al Reglamento y que restringe el debate y condiciona las propuestas de resolución, aparte de enfocar cuestiones nuevas para la jurisprudencia constitucional como la falta de legitimación para delegar la intervención del Consejo de Gobierno ante la Comisión y la vulneración de la prohibición general de delegación ex art. 13.2 a) de la Ley 30/1992, de 26 de noviembre, de régimen jurídico de las Administraciones públicas y del procedimiento administrativo común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recurso suscita una cuestión jurídica que tiene “consecuencias políticas generales”. Así, en tanto amparo parlamentario, dado que no hay cauce de tutela ante la jurisdicción ordinaria, el recurso de amparo aparece como el único remedio posible, de modo que negar el acceso a él equivale a afirmar que hay áreas de ejercicio de poder público ajenas por completo a los principios constitucionales de control jurisdiccional, por lo que decidir sobre este caso permitiría al Tribunal Constitucional fijar el alcance de la potestad que el art. 215 RAM atribuye a las mesas de las comisiones y acabar así con un alto grado de indefinición, y por tanto de arbitrariedad, que deja a la voluntad de la mayoría la aplicación de dicha norma procedimental.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en cuanto a la legitimación, aparte de que en el encabezamiento las actoras dicen promover el recurso como “Diputadas y en su calidad de miembros del Grupo Parlamentario Socialista en la Asamblea de Madrid”, en los fundamentos de derecho de orden procesal afirman que “conforme al art. 46.1 a) LOTC, está legitimada para interponer el recurso de amparo ‘la persona directamente afectada’, esto es, los miembros del Grupo Parlamentario proponente”.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del Tribunal Constitucional acordó, por providencia de 13 de febrero de 2012, la admisión a trámite del recurso de amparo promovido contra los acuerdos de la Comisión de Medio Ambiente, Vivienda y Ordenación del Territorio adoptados en su reunión de 14 de marzo de 2011 y, de conformidad con el art. 51 de la Ley Orgánica del Tribunal Constitucional (LOTC), dirigir atenta comunicación a la Presidenta de la Asamblea de Madrid para que, en el plazo de diez días, remitiera testimonio de las actuaciones del expediente administrativo relativo a los citados acuerdos, acompañándose copia de la demanda de amparo para conocimiento de la referida comisión a efectos de la personación de la Cámara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 de marzo de 2012 tuvo entrada en el Registro General de este Tribunal testimonio del acuerdo de la Mesa de la Asamblea de Madrid, de 27 de febrero de 2012, que disponía dar traslado al Tribunal Constitucional de la fotocopia adverada del expediente solicitado y acordaba personarse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 La Secretaría de Justicia de la Sala Primera de este Tribunal, por diligencia de ordenación de 6 de marzo de 2012, tuvo por recibidos los testimonios de las actuaciones remitidos por la Asamblea de Madrid y por personados a los Letrados de la misma. Asimismo, a tenor de lo dispuesto en el art. 52 LOTC, se acordó dar vista de las actuaciones por un plazo común de veinte días al Ministerio Fiscal y a las partes personadas, para que dentro de ese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recurrentes en amparo presentaron sus alegaciones en el Registro General de este Tribunal el 11 de abril de 2012, insistiendo en que la decisión de la Comisión de Medio Ambiente, Vivienda y Ordenación del Territorio “se ha realizado a partir de una interpretación restrictiva de los derechos de los parlamentarios y abiertamente contraria al Reglamento de la Asamblea de Madrid, impidiendo la existencia del debate imprescindible anterior a la adopción del acuerdo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Letrados de la Asamblea de Madrid, en escrito registrado en este Tribunal el 16 de abril de 2012, alegan, en primer lugar, varias causas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Extemporaneidad, pues dado que el plazo de interposición es de tres meses (42 LOTC) y que los acuerdos recurridos son de 14 de marzo, el recurso es extemporáneo, ya que “según el sello que figura en su primera página, tiene fecha de Registro General de ese Tribunal Constitucional de 22 de junio. Y sería extemporáneo aún en el supuesto de que la fecha que a renglón seguido se indica en el propio sello del Registro de Entrada, fuera relevante, pues es el anterior 15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Falta de legitimación activa en las actoras. En su escrito transcriben íntegros los fundamentos jurídicos 3 y 4 de la STC 98/2009, de 27 de abril, que subrayaba: “aunque entre los citados catorce Diputados solicitantes se encuentra quien a la sazón era el Portavoz del Grupo Socialista y en el encabezamiento del presente recurso de amparo figura subrayada dicha condición de Portavoz del citado grupo parlamentario, en ningún momento, ni en sede parlamentaria ni en la demanda rectora de este proceso constitucional, se ha alegado sin embargo que el citado Diputado actuara entonces y haya actuado ahora ante este Tribunal en nombre y representación del citado grupo parlamentario o en representación de los restantes Diputados firmantes de la solicitud de convocatoria y comparecencia consideradas”. Para los servicios jurídicos de la Asamblea de la Comunidad de Madrid, la condición de las demandantes de amparo que está también subrayada en el encabezamiento de la presente demanda de amparo al igual que en el supuesto de la STC 98/2009, “es una circunstancia meramente adjetiva y carente de consecuencias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esa doctrina a este caso, entiende la defensa jurídica de la Asamblea de Madrid que las firmantes del recurso que eran, respectivamente, la Portavoz y la Portavoz Adjunta del Grupo Parlamentario Socialista en la Asamblea de Madrid al tiempo de adoptarse los acuerdos recurridos, ni siquiera invocan dicha condición al formalizar la acción ante este Tribunal, como tampoco dicen actuar en nombre y representación de ese grupo parlamentario o de los diputados del mismo miembros de la comisión en la que se sustanció la iniciativa considerada.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estima relevante que, mientras la condición de Portavoz del Grupo Socialista lo fue durante la VIII Legislatura, este recurso se formalizó una vez disuelta la Cámara e incluso cuando la constitución formal del Grupo Parlamentario Socialista de la Asamblea de Madrid de la IX Legislatura ya se había producido por Acuerdo de la Mesa de la Cámara en sesión del día 13 de junio de 2011. Este nuevo grupo parlamentario es bien distinto del de la VIII Legislatura como lo demuestra, entre otras cosas, que de los seis diputados miembros del Grupo Parlamentario Socialista de la VIII Legislatura que asistieron a la sesión de la Comisión sólo tres forman parte también del Grupo Parlamentario Socialista de la IX Legislatura. Presupuesto lo anterior, esto es, que no está acreditada la actuación en representación del grupo parlamentario ni de los diputados socialistas integrantes de la Comisión, la defensa jurídica de la Asamblea sostiene que las firmantes promueven el recurso a título individual, siendo por tanto determinante que, conforme se acredita por la certificación de la correspondiente unidad administrativa que adjuntan a su escrito de alegaciones, ninguna de ellas fue miembro de la comisión en la que se sustanció la iniciativa gubernamental y durante cuyo desarrollo, según la demanda, se produjo la violación del art. 23.2 CE consistente en impedir el debate con el Consejo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se solicita la inadmisión porque las recurrentes no levantan la carga que les incumbe de justificar que este Tribunal haya de decidir este recurso en razón de su especial transcendencia constitucional, pues en cuanto a la novedad que las actoras alegan que subyace en este asunto, la doctrina fijada por el Tribunal en la delimitación del ius in officium de los parlamentarios en relación a la función de calificación y admisión a trámite de las mesas de las Asambleas resulta más que suficiente para resolver la cuestión suscitada, sin que sea relevante al efecto que este recurso se dirija contra acuerdos de la Mesa de una comisión, pues pueden reputarse sus funciones en todo punto análogas a las de la Mesa de la Cámara. Y frente a los elementos que, según la demanda, justificarían el pronunciamiento del Tribunal, notan que en realidad las actoras plantean divergencias en cuanto a la interpretación del Reglamento de la Asamblea de Madrid, no sobre cómo la misma podría afectar, en un concreto caso, a una faceta de un derecho fundamental. Y otro tanto cabe decir, en su opinión, sobre la capacidad de delegación por parte de las Administraciones públicas de los asuntos referidos a las Asambleas y sobre la prohibición general de delegación ex art. 13.2 a) LPC, pues se trata de cuestiones de mera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otro lado, los servicios jurídicos de la Asamblea niegan que este recurso conlleve una cuestión que tenga “consecuencias políticas generales”, pues no se sostiene que todo amparo parlamentario, por el mero hecho de no haber tutela posible ante la jurisdicción ordinaria, sea de especial transcendencia constitucional, ya que es claro que los arts. 49 y 50.1 b) LOTC imponen a todas las categorías del recurso de amparo constitucional, sin excluir los que se articulan por el cauce del art. 42 LOTC, la necesidad de justificar aquélla en la demanda, ya que las actoras no explican cuál es la conexión lógica entre esa singularidad procesal y las consecuencias políticas generales de la cuestión jurídica planteada en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esta parte, la demanda vuelve a colocarse en el ámbito de la legalidad ordinaria al ubicar las “consecuencias políticas generales” en la posibilidad de fijar el alcance de la potestad atribuida por el art. 215 RAM y de la capacidad de delegación por parte de los órganos administrativos de sus competencias referidas a las Asambleas Legislativas, por lo que “si bien el recurso planteado por los aquí demandantes de amparo no se encuentra totalmente huérfano de esa argumentación en la mención de la especial transcendencia constitucional, la misma tampoco pone en conexión las vulneraciones constitucionales alegadas con los criterios del art. 50.1.b) LOTC”, concluyendo que es manifiesta la “confusión entre el cumplimiento de la carga de justificar la trascendencia constitucional del amparo y la exposición de las alegaciones de fondo” y, en consonancia con ello, que los motivos alegados en la demanda no son suficientes para cumplir con el presupuesto procesal consistente en justificar la “especial trascendencia constitucional” del recurso, procediendo por tanto su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al fondo del asunto, los servicios jurídicos de la Asamblea alegan que la Mesa de la Comisión al aceptar que la comparecencia del Consejo de Gobierno fuese a través del Director General de Medioambiente se ajustó al Reglamento de la Cámara y no ocasionó merma alguna a los derechos reconocidos ex art. 23.2 CE. En efecto, consta un acuerdo inicial de la Mesa de la Asamblea, máximo órgano rector de la misma (art. 48.1 RAM), apoderando a la Mesa de la Comisión para organizar la tramitación de la iniciativa conforme a lo previsto en el art. 215 RAM para los planes y programas remitidos por el Consejo de Gobierno, pues el art. 215.3 RAM dice que “sin perjuicio de lo dispuesto en los apartados anteriores, la Mesa de la Comisión competente organizará la tramitación de los programas y planes del Consejo de Gobierno y fijará los plazos de la misma”. Así, dado que los arts. 213 y 214 RAM no prohíben expresamente que el Consejo de Gobierno comparezca mediante un alto cargo del área de que se trate, es la Mesa de la Comisión, en virtud de la genérica potestad de organización derivada del 215.3 RAM, quien puede aceptar o no posibles delegaciones del acto de la 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Así, el acuerdo de la Mesa de la Comisión, en el ejercicio de las potestades nacidas del art. 215.3 RAM, entendió suficiente la remisión del escrito del Viceconsejero de Presidencia y Secretario General del Consejo de Gobierno de 11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 frente a la tesis mantenida en el escrito de demanda, el art. 13.2 a) LPC ni forma parte de la “configuración legal” del ius in officium, que según la doctrina constitucional se materializa en los reglamentos de las Asambleas, ni puede prevalecer frente al Reglamento de la Asamblea de Madrid, que consiente, en los términos de la integración realizada por la Mesa de la Comisión, que pueda comparecer un alto cargo en comisión por delegación del miembro correspondiente del Consejo de Gobierno, lo que tiene el valor de los usos parlamentarios (STC 190/2009, FJ 4), que si bien ceden ante la norma reglamentaria sí permiten completar sus imprevisiones, primando en todo caso sobre otro tipo de preceptos legales como el art. 13.2 a)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Tampoco es cierto que se hurtase el debate parlamentario, pues éste se celebró en la sesión de la Comisión de 14 de marzo de 2011 y cumplió su doble finalidad informativa de la propuesta de declaración presentada ante la misma y de contraposición de posiciones políticas entre el Gobierno y los grupos parlamentarios representados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Otro tanto cabe decir, según esta parte, sobre la circunstancia que la Mesa de la Comisión, en uso de la potestad de organización ex art. 215.3 RAM, acordase que las propuestas de resolución hubieran de ser de aceptación o rechazo global, pues, como razonó el Secretario General en su informe de 3 de marzo de 2011, que a su vez cita la Mesa como fundamento de su decisión, “dado que se trata de una propuesta común de las Comunidades afectadas, el contenido de las propuestas de resolución habrán de ceñirse a la aprobación o rechazo en bloque de la iniciativa, de forma análoga a lo previsto en el art. 179.5 RAM sobre autorización de acuerdos o convenios de cooperación”, resaltando que la identidad de razón que justifica la analogía es que ambas iniciativas exigen, de un lado, el concierto de voluntades de al menos dos Comunidades Autónomas y, de otro, que concurra con ese acuerdo la voluntad de las Cortes Generales, autorizando o recibiendo sin objeción el convenio de cooperación en un caso y, en el otro, tramitando como proyecto de ley en los términos del art. 10 de la Ley 5/2007 la propuesta conjunta de las Comunidades Autónomas afectadas de que se declare un espacio natural como parque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una vez sentado que se ajusta al reglamento este acuerdo sobre la forma de la propuesta de resolución a presentar por los grupos parlamentarios, es evidente que, habida cuenta que el art. 214.2 RAM dispone que la Mesa de la Comisión “admitirá a trámite únicamente aquellas que sean congruentes con la materia objeto de la comunicación”, la decisión de inadmitir la registrada por el Grupo Socialista porque al no ser de aceptación o rechazo global es incongruente, es acorde con el reglamento y, por ello, no lesiona ninguna de las facetas de los derechos alegados por las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Estas alegaciones formuladas por la defensa jurídica de la Asamblea Legislativa terminan con dos afirmaciones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que “aunque a efectos puramente dialécticos sostuviéramos que se hubiera producido una infracción de dicha norma, necesariamente habríamos de negar que la misma haya afectado al núcleo de la función representativa protegido por el art. 23 CE”, pues la presentación de propuestas de resolución sobre un plan del Gobierno no figura entre las facultades que este Tribunal ha identificado como integrantes de ese núcleo, ya que, “a diferencia de todas las categorías de iniciativas parlamentarias que aparecen en tal listado, esas propuestas de resolución son vicariales o subsidiarias de una iniciativa de la que sería autor el Gobierno y que éste habría presentado con anterioridad”. De ahí que la Mesa de la Comisión disponga de las potestades de “vigilancia de la congruencia material y formal de las propuestas de resolución con la propuesta de declaración planteada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que “debemos negar igualmente que haya existido arbitrariedad en esos Acuerdos, a la vista de que la argumentación contenida en los Informes jurídicos citados, los cuales obran en el expediente, sirvió en todo momento de motivación a aquéllos, respaldándolos conforme a la interpretación que efectuaban del Reglamento y a los precedentes parlamentarios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que registró sus alegaciones en este Tribunal el 23 de abril de 2012, solicita el otorgamiento del amparo sobre la base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cita extensa de la STC 57/2011, sintetiza la doctrina constitucional sobre el derecho invocado por las recurrentes (el recogido en el art. 23.2 CE en relación al art. 23.1 CE), resaltando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No sólo garantiza el acceso igualitario a las funciones y cargos públicos, sino también su desempeño de conformidad con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trata de un derecho de configuración legal, configuración que se efectúa en los reglamentos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No cualquier acto que infrinja la legalidad del ius in officium lesiona el derecho fundamental, pues sólo poseen relevancia constitucional a estos efectos los derechos o facultades que pertenezcan al núcleo de la función representativa parlamentaria, como son, indudablemente, el ejercicio de la función legislativa o el de control de la acción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impone el deber de motivar las decisiones que limiten tal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contraposición al informe del Secretario General de la Asamblea, según el que la propuesta de resolución habría de ser necesariamente de rechazo o aceptación global en recta analogía con el art. 179.5 RAM (integrado en su título IX sobre “Convenios y Acuerdos de cooperación de la Comunidad de Madrid”), el Fiscal califica la naturaleza de lo que era objeto de tramitación en la Asamblea de Madrid diciendo que “estamos en presencia de una iniciativa legislativa que corresponde a la Comunidad Autónoma, y que requiere, para su posterior tramitación como proyecto de ley en Las Cortes Generales, de su aprobación por las respectivas Asambleas Legislativas. Esta posibilidad de iniciativa legislativa de la Asamblea de Madrid no es desconocida por su Reglamento, en cuyo título VIII, bajo la rúbrica ‘De la solicitud al Gobierno de la adopción de Proyectos de Ley y de la remisión al Congreso de los Diputados de proposiciones de Ley’ contiene un procedimiento parlamentario a tal efecto. (arts. 175 a 177 RAM)” y todo ello le lleva a sostener que “se aprecia así una semejanza sustancial entre la tramitación de la Propuesta de Declaración de Parque Nacional de la Ley 5/2007, de 3 de abril, y las solicitudes de remisión al Gobierno de Proyectos de Ley a instancia de la Asamblea, de modo que, analógicamente [dado que los arts. 213 y 214 RAM no precisan de qué tipo ha de ser la propuesta de resolución], cabría aplicar el procedimiento que prevé el Reglamento y, en consecuencia, dado que el art. 176.1 RAM remite al procedimiento legislativo común, aplicar el mismo que prevé la posibilidad de presentar enmiendas a los proyectos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sigue el Fiscal, “el contenido de la propuesta de resolución del Grupo Parlamentario Socialista evidencia la necesidad no solo de un debate, sino de que las modificaciones, adicciones o supresiones a la Propuesta del Consejo de Gobierno puedan ser votadas autónoma y aisladamente”, y concluye reconociendo, a raíz de los razonamientos anteriores, que no conteniendo límite alguno los arts. 213 a 215 RAM, que fue el procedimiento elegido por la Comisión para la tramitación de la propuesta, la interpretación realizada por la Mesa de la Comisión, fundada en el informe del Secretario General de 3 de marzo de 2011, es restrictiva para el ejercicio del ius in officium que asiste a los diputados miembros de la Comisión de modo que impide el ejercicio pleno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segundo de los acuerdos pretendidamente lesivos, el Fiscal afirma que, dado que los arts. 213 y 214 RAM no se refieren a delegación alguna por parte del Consejo de Gobierno, una interpretación gramatical de la norma reglamentaria da la razón al recurrente, pero una interpretación sistemática de la normativa reglamentaria permitiría llegar a concluir que sería aplicable el art. 209.4 RAM que permite, en relación con la comparecencia de los miembros del Consejo de Gobierno ante las comisiones, “delegar cada comparecencia ante la comisión correspondiente en los altos cargos de sus respectivos departamentos, previa autorización concedida al efecto por la Mesa de la Comisión competente”. No obstante, el Fiscal acaba descartando que esa analogía quepa en este caso al tratarse el objeto del debate de una iniciativa legislativa y no de una mera pregunta oral efectuada a un miembro del Consejo de Gobierno, con lo que falta la necesaria identidad de razón.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todo caso, el Fiscal expone que la prohibición de delegación, ex 13.2 a) LPC, pugna con la autonomía de las Cámaras Legislativas para regular su propio funcionamiento y constata que esta clase de delegaciones no son ajenas a ninguno de los Reglamentos de las Asambleas Legislativas. A pesar de ello, sigue diciendo, en este caso la naturaleza de iniciativa legislativa del acto sometido a votación y la transcendencia del debate “impone que sean los órganos políticos que asumieron y tramitaron la propuesta ante la Asamblea Legislativa quienes respondan las preguntas y objeciones de los diferentes Grupos Parlamentarios presentes en la Comisión, esto es, el miembro correspondiente del Consejo de Gobierno, de modo que la aplicación e interpretación de la normativa reglamentaria por la Mesa de la Comisión, en su Acuerdo de 14 de marzo de 2011, no ha sido la más favorable a la eficacia de las facultades que se integran en el ius in officium de los hoy recurrentes”. No son obstáculo a ello, termina diciendo el Fiscal, “los distintos precedentes parlamentarios de delegación de miembros del Consejo de Gobierno para comparecer ante las Comisiones a los que se refiere el informe de la Secretaría General de 14 de marzo de 2011, pues los mismos en cuanto usos parlamentarios, sin perjuicio de encontrar en el mismo reglamento su límite, no pueden impedir u obstaculizar desproporcionadamente las facultades reconocidas a los parlamentarios en el ejercicio de sus funciones constitucionalmente garantizadas (STC 57/2011,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septiembre de 2012 se señaló para deliberación y fallo de la presente Sentencia el día 1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promueve por doña Carmen Menéndez González-Palenzuela y doña Rosa María Alcalá Chacón, “Diputadas y en su calidad de miembros del Grupo Parlamentario Socialista en la Asamblea de Madrid”, contra los acuerdos de la Mesa de la Comisión de Medio Ambiente, Vivienda y Ordenación del Territorio de dicha Asamblea de 14 de marzo de 2011, que dispusieron, de un lado, aceptar que el Consejo de Gobierno de la Comunidad de Madrid delegase en el Director General de Medio Ambiente la comparecencia sobre la propuesta de declaración del parque nacional de las Cumbres de la Sierra de Guadarrama y, de otro, que las propuestas de resolución sobre la cuestión hubieran de ser de aceptación o rechazo global, inadmitiendo por ello la propuesta de modificación registrada por el Grupo Socialista y el recurso de amparo se promueve por la vía del artículo 42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posiciones de las partes, expuestas en los antecedentes, son, sintéticamente,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recurrentes consideran que los acuerdos impugnados, con desconocimiento de los términos en que los arts. 213 a 215 del Reglamento de la Asamblea de Madrid (RAM) configuran el ius in officium, impiden el debate parlamentario, bien porque lo reducen a aceptar o rechazar globalmente una propuesta, bien porque imposibilitan que el debate se produzca con el Consejo de Gobierno, lesionando así el derecho fundamental de los parlamentarios al ejercicio de las funciones y cargos públicos representativos con los requisitos que señalen las leyes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Letrados de la Asamblea de Madrid instan la inadmisión de este recurso de amparo por extemporáneo, por falta de legitimación de las actoras y porque, en su criterio, los razonamientos consignados al efecto en la demanda no son suficientes para levantar la carga de justificar la especial transcendencia constitucional que reviste este asunto. Subsidiariamente, en virtud de los argumentos detallados en los antecedentes, solicitan la desestimación íntegra de los motivos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nada dice de los óbices procesales suscitados por la representación de la Asamblea de Madrid y entiende que se “habría vulnerado el derecho de los recurrentes del art. 23.2 CE”. El Fiscal califica la naturaleza de lo que era objeto de tramitación en la Asamblea de Madrid como un supuesto de iniciativa legislativa, de donde deriva, de un lado, que es aplicable el art. 176.1 RAM que remite al procedimiento legislativo común con su posibilidad de presentar enmiendas y, de otro, que, aunque en otros casos fuese posible la delegación de la comparecencia del Consejo de Gobierno en un director general, en éste no lo sería por la transcendencia de lo que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examinar el fondo de las cuestiones planteadas en la demanda es necesario verificar la concurrencia de los presupuestos procesales para la viabilidad del recurso, en particular aquellos respecto de los que los Letrados de la Asamblea de Madrid formulan objeciones.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análisis no encuentra obstáculo en el momento procesal en que nos hallamos, pues, según este Tribunal ha declarado repetidamente “los defectos insubsanables de que pudiera estar afectado el recurso de amparo no resultan sanados por que la demanda haya sido inicialmente admitida, de modo que la comprobación de los presupuestos procesales para la viabilidad de la acción puede siempre abordarse en la Sentencia, de oficio o a instancia de parte, pudiendo dar lugar a un pronunciamiento de inadmisión por falta de tales presupuestos, sin que a ello sea obstáculo el carácter tasado de los pronunciamientos previstos en el art. 53 LOTC” (por todas, SSTC 7/2007, de 15 de enero, FJ 2; 242/2007, de 10 de diciembre, FJ 2; y 43/2008, de 10 de marzo; FJ 2; 28/2011, de 14 de marzo, FJ 3; 29/2011 de 14 de marzo, FJ 3; y 69/2011, de 16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juicio de la representación de la Asamblea de Madrid, dado que el plazo de interposición es de tres meses (42 LOTC) y que los acuerdos recurridos son de 14 de marzo, el recurso es extemporáneo, pues, “según el sello que figura en su primera página, tiene fecha de Registro General de ese Tribunal Constitucional de 22 de junio. Y sería extemporáneo aún en el supuesto de que la fecha que a renglón seguido se indica en el propio sello del Registro de Entrada, como ‘Otros’, fuera relevante, pues es el anterior 15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que, a falta de previsión reglamentaria de un recurso de reposición, los acuerdos impugnados son firmes desde el mismo día 14 de marzo, resulta evidente que la entrada en el Registro General de ese Tribunal Constitucional el 22 de junio está fuera del plazo de tres meses previsto en el art. 42 LOTC, de donde se sigue que lo determinante para decidir sobre este óbice es si ha de reconocerse alguna relevancia al sello que atestigua que el 15 de junio anterior se presentó la demanda en el servicio de registro central de los Tribunales civiles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28/2011, de 14 de marzo, recapitula la doctrina constitucional sobre la cuestión, señalando que tanto antes como después de la reforma de la Ley Orgánica de este Tribunal operada por la Ley Orgánica 6/2007, de 24 de mayo, la regla es la presentación de la demanda de amparo en la sede de este Tribunal, admitiéndose solo como excepción la posibilidad de presentarla en otro lugar, excepción que la redacción vigente de la Ley Orgánica del Tribunal Constitucional regula de un modo preciso en su art. 85.2, según el que “los recursos de amparo podrán también presentarse hasta las 15 horas del día hábil siguiente al del vencimiento del plazo de interposición, en el registro del Tribunal Constitucional, o en la oficina o servicio de registro central de los tribunales civiles de cualquier localidad, de conformidad con lo establecido en el artículo 135.1 de la Ley 1/2000, de 7 de enero,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Constando que el sello de 15 de junio de 2011 es del servicio de registro central de los Tribunales civiles de Madrid, lo único que queda por examinar para concluir que se dan las circunstancias que hacen entrar en juego la excepción referida es si dicho día 15 de junio era el “día hábil siguiente al del vencimiento del plazo de interposición”. Partiendo de que el art. 80 LOTC prevé la aplicación supletoria de los preceptos de la Ley Orgánica del Poder Judicial (LOPJ) en materia de cómputo de plazos y que a su vez el art. 185 LOPJ remite a la regulación de este extremo que hace el Código civil (CC) el corolario necesario es que un plazo fijado por meses, como es el previsto en el art. 42 LOTC para promover un amparo parlamentario, se computa de fecha a fecha (art. 5.1 CC), regla de cómputo en la que el día del vencimiento será el correlativo mensual al de la notificación o publicación y en este caso la comunicación de los acuerdos impugnados se produjo el día 14 de marzo de 2011 y el día de vencimiento del plazo de tres meses para promover el recurso de amparo sería el 14 de junio de 2011, de modo que el 15 de junio de 2011 sí es el “día hábil siguiente al del vencimiento del plazo de interposición”, lo que nos conduce a afirmar que la demanda de amparo se presentó en lugar y tiempo oportunos y, en consecuencia, a rechazar el primero de los óbices procesales que suscitan los Letrados de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de los óbices procesales alegados, a juicio de la representación de la Asamblea de Madrid, consiste en subrayar que las Diputadas actoras carecen de legitimación para promover este recurso de amparo. Para resolver sobre esta cuestión, tal y como argumentan en su escrito de alegaciones los Letrados de dicha Asamblea, es de la mayor relevancia el análisis de la doctrina constitucional establecida en la STC 98/2009, de 27 de abril, pues en aquel asunto los recurrentes eran cuatro diputados, entre los que se encontraba quien a la sazón era el Portavoz del Grupo Socialista, condición que además aparecía subrayada en el encabezamiento del recurso de amparo. Sin embargo, resalta esta Sentencia, en ningún momento se alegó que el citado diputado actuase “ante este Tribunal en nombre y representación del citado grupo parlamentario o en representación de los restantes diputados firmantes de la solicitud de convocatoria y comparecencia consideradas”, lo que le lleva a “concluir que la condición del demandante de amparo, de Portavoz del Grupo Socialista, que está también subrayada en el encabezamiento de la presente demanda de amparo, es una circunstancia meramente adjetiva y carente de consecuencias jurídicas” (FJ 3), de modo que su intervención como demandante de amparo ha de entenderse a título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las Diputadas señora Menéndez y señora Alcalá ostentaban al tiempo de adoptarse los acuerdos recurridos la condición respectiva de Portavoz y Portavoz Adjunta del Grupo Parlamentario Socialista en la Asamblea de Madrid. Ahora bien, no sólo no invocan dicha condición al formalizar la acción ante este Tribunal sino que, además, a la luz de la doctrina fijada en la citada STC 98/2009, en ningún momento dicen disponer de un apoderamiento que les permita actuar ante este Tribunal en nombre y representación de ese grupo parlamentario o de los diputados del mismo miembros de la comisión en la que se sustanció la iniciativa considerada, pues las Diputadas recurrentes se limitan a decir, tanto en el encabezamiento del recurso de amparo como en el apartado donde razonan sobre su legitimación, que promueven el recurso de amparo en “su calidad de miembros del Grupo Parlamentario Socialista en la Asamblea de Madrid”. De lo anteriormente razonado, y sin necesidad de entrar en la vexata quaestio de si los grupos parlamentarios subsisten o no una vez disueltas las Cámaras, no cabe sino concluir que las Diputadas señora Menéndez y señora Alcalá promueven el presente recurso de amparo a título individual, y partiendo de esta premisa hemos de examinar si concurre en ellas la necesaria legitimación ad causam, que según el art. 46.1 LOTC viene determinada por ser “persona directamente afectada”, basándonos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tal como se detalló en los antecedentes, en aplicación de los arts. 213 y 214 RAM, a los que remite el art. 215.2 RAM, la intervención en el debate mantenido con el representante del Consejo de Gobierno estuvo a cargo de un portavoz de cada grupo parlamentario y, al finalizar el debate, la presentación de propuestas de resolución también correspondió a los grupos parlamentarios a través de sus portavoces, de donde se sigue que es el Grupo Parlamentario Socialista en la Asamblea de Madrid el que, desde esta óptica, es la persona directamente afectada por las decisiones de la Mesa de la Comisión de Medio Ambiente, Vivienda y Ordenación del Territorio, al aceptar que la comparecencia del Consejo de Gobierno se realizó mediante el Director General de Medio Ambiente y ser las propuestas de resolución obligatoriamente de aprobación o rechazo global, inadmitiendo en consecuencia la de modificación registrada por el portavoz de aquel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Diputadas recurrentes, a pesar de ser miembros del Grupo Socialista, actuaron ante este Tribunal a título individual y no como representantes del mismo, por lo que carecen de la conexión de interés jurídico con la materia objeto de impugnación que es imprescindible conforme al art. 46.1 LOTC para que les reconozcamos legitimación para sostener este recurso de amparo. En efecto, la sola condición de miembros de un grupo parlamentario no es suficiente para arrogarse la defensa de los derechos del grupo a que pertenecen, pues de lo contrario cada uno de los diputados de un grupo sería titular de una facultad impugnatoria que podría ejercitar individualmente, incluso en contra de la posible voluntad de los otros diputados del mismo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punto, es doctrina constante de este Tribunal (por todas, las SSTC 42/1985, de 15 de marzo; 150/1990, de 4 de octubre; 98/2009, de 27 de abril y AATC 56/1999, de 9 de marzo y 244/2000 de 17 de octubre) que sólo la actuación unitaria de quienes dieron lugar a la constitución de la agrupación puede expresar válidamente su voluntad en el curso del correspondiente proceso, por lo que cada diputado no es titular de la facultad impugnatoria de la que puede disponer individualmente para pretender cuestionar por separado la decisión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cierto que a cada uno de los diputados que formaban parte de la Comisión de Medio Ambiente, Vivienda y Ordenación del Territorio, les asistía el derecho de votar a favor o en contra de las propuestas de resolución que, terminado el debate con el representante del Consejo de Gobierno, presentasen los portavoces de los grupos parlamentarios, pero el dato determinante es que, conforme se acredita por la certificación aportada por la representación de la Asamblea de Madrid junto a su escrito de alegaciones, ninguna de las dos Diputadas recurrentes fue miembro de la Comisión en la que se sustanció la iniciativa gubernamental y durante cuyo desarrollo, según la demanda, se produjo la violación del art. 23.2 CE consistente en impedir el debate con el Consejo de Gobierno y restringir las propuestas de resolución que cabía presentar.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todo ello, las recurrentes, dado que ni eran miembros de tal comisión ni alegan disponer de apoderamiento de uno o varios de los diputados que sí lo fueron que les permitiera actuar en su nombre, carecían de la necesaria legitimación para recurrir ante este Tribunal las decisiones de la Mesa de la Comisión de Medio Ambiente, Vivienda y Ordenación del Territorio que son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razonamientos expuestos conducen a estimar que no concurre uno de los presupuestos procesales imprescindibles para la viabilidad de la acción, concretamente la legitimación de las recurrentes, por lo que procede inadmitir el presente recurso de amparo y no entrar a considerar las alegaciones de fondo que plantea.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doña Carmen Menéndez González-Palenzuela y doña Rosa María Alcalá Chacón.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