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Luis Ortega Álvarez, don Francisco Pérez de los Cobos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2675-2009, interpuesto por Buque Bus España, S.A., representado por el Procurador de los Tribunales don Jorge Deleito García y asistido por los Abogados don Sabiniano Medrano Irazola y don Pablo Tramoyeres Galván, contra la Sentencia de la Sección Tercera de la Sala de lo Contencioso-Administrativo del Tribunal Supremo de 3 de febrero de 2009, que confirma la Sentencia de la Sección Sexta de la Sala de lo Contencioso-Administrativo de la Audiencia Nacional de 30 de junio de 2005, desestimatoria del recurso contencioso-administrativo núm. 477-2003, promovido por la recurrente contra la resolución del Tribunal de Defensa de la Competencia de 13 de junio de 2003, que le imponía una sanción de 600.000 € por concertar los precios con las otras navieras que operaban la línea de transporte marítimo Algeciras-Ceuta-Algeciras.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fue registrada en este Tribunal el 23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Estando servida la línea de transporte marítimo Algeciras-Ceuta-Algeciras por Transmediterránea, S.A. (desde 1917), Euroferrys, S.A. (desde el 30 de mayo de 1998) y Buque Bus España, S.A. (desde el 1 de septiembre de 1997), la Resolución del Tribunal de Defensa de la Competencia de 13 de junio de 2003 declaró que las tres navieras habían fijado concertadamente precios, conducta prohibida por el art. 1 Ley 16/1989, de 17 de julio, de defensa de la competencia (LDC), imponiéndoles sendas sanciones de 600.000 € en aplicación del art. 10 LDC, que en la redacción vigente en aquel momento decía: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Multas sancionadoras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Tribunal podrá imponer a los agentes económicos, empresas, asociaciones, uniones o agrupaciones de aquellas que, deliberadamente o por negligencia, infrinjan lo dispuesto en los artículos 1, 6 y 7, o dejen de cumplir una condición u obligación prevista en el articulo 4.2, multas de hasta 150.000.000 de pesetas, cuantía que podrá ser incrementada hasta el 10 por 100 del volumen de ventas correspondiente al ejercicio económico inmediato anterior a la resolución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cuantía de las sanciones se fijara atendiendo a la importancia de la infracción, para lo cual se tendrá en cuenta: a) la modalidad y alcance de la restricción de la competencia; b) la dimensión del mercado afectado; c) la cuota de mercado de la empresa correspondiente; d) el efecto de la restricción de la competencia sobre los competidores efectivos o potenciales, sobre otras partes en el proceso económico y sobre los consumidores y usuarios; e) la duración de la restricción de la competencia; f) la reiteración en la realización de las conductas prohibidas.”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Defensa de la Competencia constató —en la información solicitada a las encausadas— que las tres navieras aplicaban precios casi iguales que evolucionaban paralelamente y —por reconocimiento expreso de ellas mismas— que entre las dos primeras había un pacto de intercambio de billetes al que se unió la tercera a partir del 1 de abril de 2000. Sin realizar actividades ulteriores de instrucción, dicho organismo tuvo por acreditado en virtud de prueba de presunciones que la referida identidad de precios se debía a una voluntad concertada. Así, la resolución sancionadora, diciendo seguir las condiciones exigidas por el Tribunal Constitucional para que la prueba de presunciones sirva para constatar la existencia de hechos que constituyen una infracción, (a) afirmó que los hechos base —identidad de precios, acuerdo de intercambio de billetes— estaban plenamente probados; (b) razonó la relación causal entre los indicios y el hecho que se pretende probar a partir de los mismos diciendo que, en un mercado liberalizado donde el comportamiento normal de los nuevos operadores es hacerse un hueco en el mercado diferenciando la calidad del servicio y ofreciendo precios más atractivos, “si las tres navieras establecen idéntica y simultáneamente los precios, manteniendo una pequeña diferencia constante a lo largo del tiempo para las muy distintas tarifas que se fijan, la única posibilidad de este idéntico comportamiento es que haya habido concertación o acuerdo de los precios”; (c) y, en fin, analizó la verosimilitud de las versiones aducidas por las empresas navieras y expresó, una por una, las causas de su rechazo. Destaca, por ejemplo, cuando dice que “los argumentos de la alta transparencia del mercado y del obligado seguimiento al líder del mismo quedan desvirtuados porque no explican de ningún modo que los precios de Buque Bus España, S.A., y de Euroferrys se formen añadiendo o restando en casi todos los servicios cinco pesetas a los de Trasmediterránea, o que quepa un seguimiento absolutamente automático al líder del mercado, además de que estas posibilidades no son admisibles cuando ha habido contactos previos e intercambio de información entre las empresas concertadas que, en este caso, no pueden negar porque es un hecho probado y admitido que han realizado acuerdos expresos, aunque sin suscribir documento alguno, como sucede con el de aceptación mutua de billetes incluso fuera del período de la Operación de Paso del Estrecho.”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Buque Bus España, S.A., impugnó en vía contencioso-administrativa dicha resolución sancionadora esgrimiendo tres motivos: a) que la cuantía de la multa que se le impuso no era predecible; arguye que la normativa aplicable, reducida al art. 10 LDC, no predeterminaba suficientemente las sanciones que podían ser impuestas, pues remitían la graduación de la sanción a una decisión singular de la Administración sancionadora, lo que, según la STC 100/2003, no respeta la garantía de seguridad jurídica que la vertiente material del principio de legalidad sancionadora (art. 25.1 CE) asegura a toda persona. Y, reputando que la lesión procedía de dicho art. 10 LDC, solicitaba que se promoviese la oportuna cuestión de inconstitucionalidad; b) que inferir de los hechos base (identidad de precios, evolución paralela de los precios, pacto de intercambio de billetes) que las tres navieras fijaron los precios concertadamente lesiona la presunción de inocencia (art. 24.2 CE). Alega que esos mismos hechos pueden deberse a una política comercial libremente escogida por cada cual y no a una concertación entre ellas para no competir, de modo que los hechos constatados no permiten deducir, con los requisitos que constitucionalmente se exige a la prueba de presunciones, que se haya realizado la conducta sancionada, lo que, máxime cuando ni siquiera se ha intentado ninguna otra actividad instructora de la que la prueba de presunciones sea complementaria, implica que se le ha sancionado sin aportar prueba de cargo suficiente para destruir la presunción de inocencia; c) que la sanción impuesta es desproporcionada en comparación con las precedentes acordadas por el Tribunal de Defensa de la Competencia y con la aplicada en la misma resolución a las otras dos navieras. Lo último porque el volumen de negocio de éstas (que operan otras muchas líneas en el sur de Europa y en el norte de África) es muy superior al suyo (que solo opera la Algeciras-Ceuta), de modo que la imposición de multas de idéntica cuantía supone para ella la desaparición mientras no tiene tal transcendencia para las otras, resultado este de eliminación de competidores que es contrario al objetivo de defender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Sección Sexta de la Sala de lo Contencioso-Administrativo de la Audiencia Nacional de 30 de junio de 2005 nada contestó al primer motivo y desestimó los dos últimos. Buque Bus España, S.A. presentó recurso de casación en el que, de un lado, alegó incongruencia omisiva respecto del primer motivo de impugnación y, de otro, reiteró los otros dos motivos que habían sido desestimados en la instancia, casación resuelta por la Sentencia de la Sección Tercera de la Sala de lo Contencioso-Administrativo del Tribunal Supremo de 3 de febrero de 2009 con la desestimación de los tres motivos articulados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primero, luego de apreciar que hubo incongruencia omisiva, lo decidió en cuanto al fondo desestimándolo conforme a la doctrina que había sentado en su Sentencia de 6 de marzo de 2003. Transcribiendo lo dicho en aquélla, rechazó (fundamento jurídico 3) “el planteamiento de la cuestión de inconstitucionalidad sobre dicho precepto legal, en los dos apartados antes transcritos, por considerar que ninguno de ellos vulnera el art 25.1 CE. Es cierto que las multas previstas en la Ley 16/1989 lo han sido, como en otra ocasión hemos afirmado (sentencia de 8 de marzo de 2002, recaída en el recurso de casación 8088 de 1997), dentro de márgenes muy amplios, pero no absolutamente indeterminados, con referencia a variables o criterios sin duda generales y de no fácil y exacta verificación. De modo que no es siempre posible cuantificar, en cada caso, aquellas sanciones pecuniarias a base de meros cálculos matemáticos y resulta, por el contrario, inevitable otorgar al TDC un cierto margen de apreciación para fijar el importe de las multas sin vinculaciones aritméticas a parámetros de ‘dosimetría sancionadora’ rigurosamente exigibles. Si ello es así en el ejercicio general de las potestades administrativas cuando la Ley lo consiente, tanto más lo será respecto de la potestad sancionadora en el ámbito de la defensa de la competencia, pues resulta inherente a toda decisión sancionadora de este género, además de la finalidad estrictamente represiva, la de defender los intereses públicos ‘concretados en el funcionamiento concurrencial del mercado, su transparencia y la defensa de los consumidores’ incorporando a los instrumentos represivos elementos disuasorios de conductas futuras. Ha de tenerse en cuenta, además, como criterio rector para este tipo de valoraciones sobre la adecuación de las sanciones a la gravedad de los hechos, que la comisión de las infracciones anticoncurrenciales no debe resultar para el infractor más beneficiosa que el cumplimiento de las normas infringidas. Criterio que, aun no expresado literalmente en el art. 10 de la Ley 16/1989, puede entenderse implícito en las letras a), c) y d) de su apartado 2, así como en la facultad de sobrepasar el límite sancionador de los 150 millones de pesetas hasta el diez por ciento del volumen de ventas de la empresa infractora (art. 10 apartado uno). En todo caso, con o sin mención legal específica, corresponde a la naturaleza misma de la propia potestad sancionadora, como lo demuestra su posterior inclusión bajo la rúbrica del ‘principio de proporcionalidad’ en el artículo 131.2 de la Ley 30/1992. A partir de estas consideraciones, estimamos que los apartados primero y segundo del art. 10 no son susceptibles del reproche de inconstitucionalidad que la parte recurrente pretende. Pues la inevitable utilización de elementos de valoración referenciados a factores económicos de diversa naturaleza (cuotas de mercado, dimensiones de éste, efectos sobre los consumidores y otros similares) no convierte en absolutamente indeterminados los criterios para fijar la ‘importancia’ de la infracción en cada caso. Se trata de criterios preestablecidos legalmente, de modo que las exigencias de previa determinación normativa se cumplen en la medida en que las empresas afectadas pueden, o deben, ser conscientes de que a mayor intensidad de la restricción de la competencia por ellas promovida mayor ha de ser el importe de la sanción pecuniaria, con los límites máximos que en todo caso fija el propio art. 10, en términos absolutos o relativos. Como es lógico, todo ello exige una ulterior labor de motivación y fundamentación, por parte del TDC que dé razón suficiente de la cuantía de la multa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segundo motivo, la Sentencia recurrida hace suya la valoración probatoria que llevó a la de instancia a declarar que la resolución sancionadora hizo un uso constitucionalmente admisible de la prueba de presunciones, que pone el acento en que en ésta los hechos base están plenamente probados, de ellos se deriva el hecho constitutivo de la conducta sancionada mediante una inferencia que no es ilógica ni abierta y, en fin, se rechaza de un modo suficiente la versión alegada por Buque Bus España, S.A. Y respecto a la necesidad de que esta inferencia sirva como complemento de otros medios de prueba, dice el Tribunal Supremo que “tiene razón la sociedad actora en que la prueba por presunciones resulta admisible, en principio, en defecto o como complemento de pruebas directas, sin que pueda recurrirse a ella sin más como único procedimiento de prueba. Ahora bien, la necesidad o justificación de la prueba por presunciones en cada caso deriva del tipo de infracción y de si las circunstancias concurrentes en el supuesto concreto hacen razonable y útil la práctica de cualesquiera pruebas directas. En el caso de autos, como en muchos otros en materia de defensa de la competencia, especialmente en materia de acuerdos o prácticas concertadas entre sujetos económicos, es especialmente difícil lograr acreditar de forma directa la existencia de acuerdos, por las lógicas precauciones adoptadas por quienes incurren en conductas expresamente prohibidas por el art. 1 LDF; y, en supuestos como los de conductas conscientemente paralelas, dichas pruebas pueden ser inexistentes por no existir acuerdos formales entre los sujetos afectados. En consecuencia, si el órgano instructor entendió suficiente la constatación de la evolución paralela durante un largo período de tiempo de los precios establecidos por las empresas sancionadas para considerar acreditada la concertación de los mismos, ello no supone por sí mismo que se haya vulnerado el principio de presunción de inocencia por la falta de práctica de otra actividad probatoria. Por lo demás, no parece presumible que la actividad probatoria que la parte sugiere (solicitar documentación contable, colaboración o información de terceros, interrogatorio de empleados de las empresas, solicitud de un estudio pericial sobre posibles explicaciones alternativas) pudiera aportar datos relevantes sobre la existencia de una actuación encaminada a la concertación (reuniones, acuerdos expresos), sino sobre los propios hechos base (la efectiva evolución de los precios durante el período de tiempo examinado) que están ya sobradamente acreditados y que no son disputados por la actora, o sobre la explicación alternativa, que está ya suficientemente argumentada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respecto al tercer motivo de impugnación, el Tribunal Supremo considera, como la Sentencia de instancia, que el mercado relevante para fijar la cuantía de la sanción es la concreta línea marítima donde se ha realizado la infracción y no el más amplio del transporte marítimo del sur de Europa y norteafricano como propone la recurrente, de modo que, teniendo en esa línea las tres navieras una participación similar, la imposición de multas de idéntica cuantía está lejos de suponer un trato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articula en tres motivos: a) Lesión de la vertiente material del derecho a la legalidad sancionadora (art. 25.1 CE), pues se le habría impuesto una sanción sin que hubiera predeterminación normativa suficiente de la correlación entre la infracción y la sanción, siendo posible tal predeterminación también en materia de defensa de la competencia como resulta de los arts. 62 y 63 de la ley 15/2007 que han sustituido al art. 10 LDC; b) lesión del derecho a la presunción de inocencia (art. 24.2 CE); y c) lesión del derecho a la igualdad (art. 14 CE). Imputa las tres lesiones directamente a la resolución administrativa sancionadora y, sólo en la medida en que no las reparan, a las resoluciones judiciales. La recurrente, en consonancia con ello, dice que deduce el recurso por el cauce del art. 43 Ley Orgánica del Tribunal Constitucional (LOTC) y desarrolla los referidos motivos de amparo en los mismos términos que lo había hecho en la vía judicial previa, los cuales han quedado expuestos ut supra.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lo anterior la actora afirma que, a diferencia del caso resuelto por la STC 100/2003, el art. 10 LDC no remite el complemento de los criterios de gradación de la sanción a un momento reglamentario posterior, cuya ausencia causaría la lesión, sino que es aplicable directamente, lo que le lleva a sostener que la lesión del art. 25.1 CE deriva inmediatamente del citado precepto legal y, en su virtud, a solicitar que se eleve al Pleno de este Tribunal la correspondiente cuestión de inconstitucionalidad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pretensiones de amparo, fijadas en el apartado V de la demanda y a las que remite la súplica, la núm. 4 pide que “para el caso que mi mandante fuera compelido a pagar la multa, que su importe le sea devuelto incrementado en los intereses de demora correspondientes al período que medie entre el eventual pago y la efectiva restitución, y que adicionalmente se le indemnice de los perjuicios que dicho pago le cause”. La demanda concluye con un otrosí en el que se insta ex art. 56.3 LOTC la suspensión de la efectividad de la resolución del Tribunal de Defensa de la Competencia de 13 de junio 2003 en la que se imponía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acordó a través de providencia de 23 de noviembre de 2010 admitir a trámite esta demanda y dirigir atenta comunicación a la Sección Tercera de la Sala de lo Contencioso-Administrativo del Tribunal Supremo y a la Sección Sexta de la Sala de lo Contencioso-Administrativo del Tribunal Superior de Justicia de la Comunidad Valenciana para que, en plazo que no exceda de diez días, remitan certificación o copia adverada de las actuaciones correspondientes al recurso de casación núm. 7280-2005 y al recurso contencioso-administrativo núm. 477-2003, respectivamente. Se solicita igualmente al último de esos órganos judiciales que proceda al previo emplazamiento de quienes hayan sido parte en el procedimiento, excepto la parte recurrente en amparo, para que puedan comparecer en el plazo de diez días en este proceso constitucional. Las actuaciones solicitadas fueron recibidas en este Tribunal el día 16 de diciembre de 2010. El 26 de noviembre de 2010 se había personado el Abogado del Estado, en la representación que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fecha, la Sala Segunda ordenó la formación de pieza separada para la tramitación del oportuno incidente de suspensión, al que puso término el ATC 199/2010, de 21 de diciembre, que desestimó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25 de enero de 2011 se tuvo por personado y parte en el procedimiento al Abogado del Estado y se dio vista de las actuaciones recibidas a las partes personadas y al Ministerio Fiscal por plazo común de veinte días para que presenten las alegaciones que consideren oportunas, todo ello al amparo del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actora evacuó el trámite de alegaciones concedido mediante escrito registrado en este Tribunal el 15 de febrero de 2011, en el que se ratifica en su demanda de amparo y da por reiterados los argumentos contenidos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sus alegaciones registradas el 15 de febrero de 2011, tras instar la inadmisión del tercer motivo de amparo (porque en la vía judicial ordinaria se denunció como aplicación desproporcionada del art. 10 LDC) y de la petición sobre devolución de cantidad, pago de intereses e indemnización (porque es ajena a la jurisdicción constitucional de amparo), rechaza que haya lesión del art. 25.1 CE, advirtiendo como preliminar que “[t]oda la LDC 1989 ‘se inspira’ en ‘la normativa comunitaria’ … Si los apartados 1 y 2 del art. 10 LDC son contrarios al art. 25.1 CE, no será arduo inferir, a la vista de la doctrina constitucional de las violaciones indirectas (por todas, SSTC 91/2000, de 30 de marzo, FJ 6, 110/2002, de 6 de mayo, FJ 4, 177/2006, de 5 de junio, FJ 7, 140/2007, de 4 de junio, FJ 2, o 199/2009, de 28 de septiembre, FJ 3), que ningún poder público español —ni las Administraciones ni los jueces y tribunales- podrán prestar su concurso a la ejecución de multas sancionadoras impuestas en aplicación del art. 15.2 del Reglamento núm. 17 o 23.2 del Reglamento de 2003, puesto que, si lo hicieran, violarían el derecho fundamental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a los argumentos aplicables al caso, destaca que “la doctrina constitucional no sólo acepta el ineluctable margen de arbitrio o discrecionalidad en la aplicación de sanciones, sino que incluso esa holgura aplicativa sirve para evitar la inconstitucionalidad por excesiva rigidez de la norma. … La consecuencia de esta doctrina es que las cuestiones constitucionales relacionadas con la individualización de las sanciones son ajenas al art. 25. 1 CE y se desplazan, corno problemas de motivación, al ámbito del art. 24.1 CE (así STC 64/2001, de 17 de marzo, FJ 4)”. Y razona que este es “un supuesto en que un amplio margen de libertad en la individualización de las sanciones resulta imprescindible” debido a “la inevitable utilización de elementos de valoración referenciados a factores económicos de diversa naturaleza (cuotas de mercado, dimensiones de éste, efectos sobre los consumidores y otros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sostiene que “[e]n la doctrina de este Tribunal Constitucional hay menciones a que la jurisprudencia, y en general los precedentes, contribuyen a mejorar la previsibilidad de las normas sancionadoras. Por ejemplo, la STC 89/1993, de 12 de marzo, señaló que ‘la suficiencia o insuficiencia, a la luz del principio de tipicidad, de esta labor de predeterminación normativa podrá apreciarse también a la vista de lo que en ocasión anterior se ha llamado el contexto legal y jurisprudencial (STC 133/1987) en que el precepto penal se inscribe, pues el ordenamiento jurídico es una realidad compleja e integrada dentro de la cual adquieren sentido y significación propia -también en el ámbito penal- cada uno de los preceptos singulares’. Pero aún abundan más en la jurisprudencia del TEDH, que tiene declarado –entre otras, sentencias de 22 de marzo de 2001, Streletz, Kessler y Krenz, parágrafos 50, 81 y 82 y de 2 de septiembre de 2010 Uzun, parágrafo 62- que el art. 7 del Convenio Europeo no prohíbe ‘la clarificación gradual de las normas de la responsabilidad penal mediante la interpretación judicial de un asunto a otro, a condición de que el resultado sea coherente con la sustancia de la infracción y razonablemente previsible’. Y es que en palabras de la STEDH de 22 de junio de 2000, Coëme y otros c/Bélgica, parágrafo 145, el concepto de derecho que utiliza el art. 7 del Convenio Europeo se corresponde con la de ‘ley’ que figura en otros artículos de la Convención; engloba el derecho de origen tanto legislativo (statute law) como jurisprudencial (case law)”.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prosigue el Abogado del Estado, “la jurisprudencia del hoy TJUE ha recogido la doctrina Coëme del TEDH (por todas, SSTJCE de 3 de mayo de 2007. Advocaten voor de Wereld, C-303/05, y 3 de junio de 2008, Intertanko, C-308/2006). En una reciente sentencia del TJUE, de 17 de junio de 2010, Lafarge SA c/ Comisión, C-413/08, partiendo de la doctrina del TEDH, se resume así la jurisprudencia sobre el art. 15.2 del Reglamento núm. 17 en el parágrafo 95: ‘A este respecto, es preciso señalar que, aunque el artículo 15, apartado 2, del Reglamento núm. 17 deja a la Comisión una amplia facultad de apreciación, limita, sin embargo, su ejercicio estableciendo criterios objetivos que ésta debe observar. Así, por una parte, el importe de la multa que puede imponerse está sujeto a un límite cuantificable y absoluto, de modo que cabe establecer de antemano el importe máximo de la multa que puede imponerse a una empresa determinada … Además, la práctica administrativa conocida y accesible de la Comisión está sometida al pleno control del juez de la Unión, cuya jurisprudencia reiterada y publicada ha permitido precisar los conceptos indeterminados que podía contener el artículo 15, apartado 2, del Reglamento núm. 17. De este modo, un agente económico atento y perspicaz puede, recurriendo si fuera preciso a asesoramiento jurídico, prever de modo suficientemente preciso el método de cálculo y la magnitud aproximada de las multas a que se expone por actuar de un modo determinado’.” El Abogado del Estado resalta también la conocida doctrina del Tribunal de Justicia de la Unión Europea sobre el deber reforzado de motivación “que incumbe a la Comisión cuando impone una multa sancionadora a quienes incurren en prácticas anticompetitivas. Por ejemplo, la sentencia de 18 de septiembre de 2003, Volkswagen/Comisión, C-338/00, parágrafo 124, recuerda que ‘según reiterada jurisprudencia, la motivación exigida por el artículo 190 del Tratado debe mostrar, de manera clara e inequívoca, el razonamiento de la autoridad comunitaria de la que emane el acto impugnado, de manera que los interesados puedan conocer las razones de la medida adoptada con el fin de defender sus derechos y que el juez comunitario pueda ejercer su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recogiendo esas razones concluye “que, cuando se concertaron las conductas anticompetitivas sancionadas, Buquebus podía informarse fácilmente —contando en su caso con asesores jurídicos— tanto de la práctica sancionadora del TDC plasmada en numerosos precedentes (disponibles en su página web y en repertorios y bases de datos usuales) como de la jurisprudencia contencioso-administrativa en la materia, con lo que ha de excluirse —al igual que ocurre en el ordenamiento europeo según declara constantemente el hoy TJUE— que la actora hubiera de soportar un déficit de previsibilidad infractor de la garantía ínsita en el art. 25.1 CE. Habida cuenta de ello y del cuidado con que el TDC motivó las sanciones … cuidado con el que procedía generalmente como es notorio, no puede entenderse que el margen de apreciación concedido al órgano defensor de la competencia por los apartados 1 y 2 del art. 10 LDC 1989, a semejanza de lo previsto en el art. 15.2 Reglamento núm. 17, supusiera una infracción de las exigencias que para el legislador dimanan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niega que haya lesión de la presunción de inocencia, haciendo valer el mismo planteamiento que las resoluciones judiciales recaídas en la vía judicial ordinaria, que quedó expuesto con suficiente detalle ut supra. Añade que no es cierto que a la actora se le exija una prueba diabólica o de hechos negativos, pues “la prueba de descargo que debía aportar versaba sobre hechos positivos, a saber aquellos en los que se asentaba la explicación alternativa dada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descarta la tercera vulneración alegada porque el derecho a no padecer discriminación no ampara frente a la falta de distinción en supuestos desiguales y porque los precedentes del Tribunal de Defensa de la Competencia no pueden fundamentar una pretensión de desigualdad ante este Tribunal una vez que el acto supuestamente distinto a los que le precedieron ha sido enjuiciado y declarado válido por el tribunal competente, pues la igualdad garantizada en la Constitución es la igualdad ante la ley (por todas, STC 50/1986,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sus alegaciones registradas el 3 de marzo de 2011, niega que la Ley de defensa de la competencia de 1989 omita clasificar las infracciones definidas en los arts. 1, 4.2, 6 y 7 en grados (como leves, graves o muy graves), implicando esa omisión un déficit de predeterminación normativa de la correspondencia entre infracciones y sanciones exigida por el art. 25.1 CE, pues el hecho de que las infracciones no se dividan en categorías no significa que entre esas infracciones haya unas leves, otras graves y otras muy graves y que el legislador no las haya diferenciado a la hora de atribuirles su correspondiente sanción, sino que es perfectamente posible que sólo haya considerado conveniente tipificar las conductas más graves, castigándolas todas con la misma clase de sanción, lo que supone que la correspondencia entre infracciones y sanción sea perfecta.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radica, según el Fiscal, la diferencia con la doctrina de la STC 100/2003, pues en esa Sentencia la normativa aplicable preveía que las infracciones, previamente tipificadas en lista única, podían ser leves, menos graves, graves y muy graves y fijaba su correlato en la cuantía de la multa que se podía imponer, todo ello sin precisar qué infracciones se integraban en cada grado, lo que suponía remitir a la Administración, simplemente condicionada por algunos criterios generales, la decisión sobre la correspondencia entre infracciones y sanciones. Por el contrario, en este caso el legislador se ha limitado a definir una serie de conductas infractoras de una sola e igual gravedad y ha fijado para el supuesto de comisión de cualquiera de esas conductas infractoras una sola sanción, comprendida entre 1 € y 901.518,16 € o, en su caso, el 10 por 100 del volumen de ventas correspondiente al ejercicio económico inmediato anterior a la resolución del Tribunal de Defensa de la Competencia, lo que significa que la correspondencia entre infracciones y sanciones está en la norma y no se remite a la decisión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Arguye, en fin, que a pesar de la enorme amplitud de la “horquilla” dentro de la cual el Tribunal de Defensa de la Competencia puede imponer las sanciones (entre 1 € y el 10 por 100 del volumen de las ventas), lo relevante, desde el punto de vista de la predeterminación normativa de la sanción, es que los interesados pueden conocer de antemano las consecuencias máximas de sus acciones y que el margen que el legislador deja a la Administración para recorrer toda la extensión de la multa aparece limitado por los criterios generales establecidos en el art. 10.2 LDC -para las multas en materia de defensa de la competencia —y en el art. 131 de la Ley de régimen jurídico de las Administraciones públicas y del procedimiento administrativo común— para las sanciones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segundo motivo de amparo, el Fiscal expone con detalle cómo la resolución sancionadora asienta con prueba plena los hechos base, infiere de ellos de un modo que supera el test constitucional que la igualdad de precios obedece a una voluntad concertada y, finalmente, razona el rechazo de las versiones alternativas, concluyendo que no ha habido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Fiscal afirmando que, dado que la discriminación por indiferenciación y la separación administrativa del precedente ilegal no son supuestos protegibles al amparo del art. 14 CE, no cabe acoger el tercer y último motivo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11 de octubre de 2012, se señaló para deliberación y fallo de la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se dirige contra la resolución del Tribunal de Defensa de la Competencia de 13 de junio de 2003, que declaró que la actora había concertado precios con las otras dos operadoras de la línea de transporte marítimo Algeciras-Ceuta-Algeciras, conducta prohibida por el art. 1 de la Ley de defensa de la competencia (LDC), imponiéndole, como a la otras dos, multa de 600.000 € en aplicación del art. 10 LDC. También son objeto del mismo las decisiones judiciales que confirman la actuación administrativa, en tanto que no reparan las lesiones imputadas a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actora articula tres motivos de amparo: a) Se ha desconocido la vertiente material del derecho a la legalidad sancionadora, pues se le impuso una multa sin que la predeterminación normativa de la correlación entre las infracciones y la sanciones, limitada a lo establecido en el art. 10 LDC, sea suficiente a la luz de la doctrina constitucional (STC 100/2003, de 2 de junio). Además, alega que, a diferencia del caso resuelto por la STC 100/2003, el art. 10 LDC no remite el complemento de los criterios de gradación de la sanción a un momento reglamentario posterior, cuya ausencia causaría la lesión, sino que es aplicable directamente, lo que supone que la lesión del art. 25.1 CE deriva inmediatamente del citado precepto legal y, en su virtud, que ha de elevarse al Pleno de este Tribunal la correspondiente cuestión de inconstitucionalidad [art. 55.2 de la Ley Orgánica del Tribunal Constitucional]; b) inferir de la identidad de precios y del pacto de intercambio de billetes que las navieras concertaron precios no satisface el derecho la presunción de inocencia (art. 24.2 CE), máxime cuando los medios probatorios aptos para acreditarlo de modo directo ni se intentaron; c) en fin, la sanción impuesta es desproporcionada en comparación con los precedentes del Tribunal de Defensa de la Competencia  y con la aplicada en la misma resolución a las otras dos navieras, lo que vulnera el art. 14 CE. Concluye la actora pidiendo que se otorgue el amparo, se anulen la resolución administrativa y las sentencias que la confirman y, para el caso que hubiera sido compelida a pagar la multa, le sea devuelto el importe acompañado de intereses e indemnización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 los argumentos detallados en los antecedentes, tras instar la inadmisión del tercer motivo de amparo y de la petición sobre devolución de cantidad, pago de intereses e indemnización, rechaza en cuanto al fondo los tres motivos planteados por la actora, por lo que solicita la desestimación de la demanda. El Fiscal, por su parte, también se opone, en los términos descritos en los antecedentes,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asunto, es preciso resolver sobre los óbices procesales suscitados por el Abogado del Estado. El primero, relativo a la falta de denuncia del tercer motivo de amparo en la vía judicial ordinaria, no puede prosperar porque, aunque es cierto que en aquélla lo que alegó la actora fue la aplicación desproporcionada del art. 10 LDC, también lo es que la desproporción se predicaba en relación a las multas precedentes impuestas por el Tribunal de Defensa de la Competencia y a la aplicada en la misma resolución a las otras dos navieras, de modo que los jueces ordinarios han podido pronunciarse, y efectivamente lo han hecho, sobre el juicio de igualdad que plantea dicho motivo de amparo. Sobre el segundo, referido a la inadecuación en el recurso de amparo de la petición sobre devolución de cantidad, pago de intereses e indemnización, cumple recordar la doctrina constitucional (reiterada desde la STC 37/1982, de 16 de junio, y mantenida recientemente —en un asunto en que, como aquí, se imputaba la lesión del art. 25.1 CE a la imposición de una sanción— en la STC 9/2006, de 16 de enero) de que los pronunciamientos que el art. 55.1 de la Ley Orgánica del Tribunal Constitucional permite consignar en el fallo delimitan el objeto posible de este proceso constitucional, de modo que las pretensiones indemnizatorias, por no caber dentro de dichos pronunciamientos, han de quedar fuera de lo discutido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Abordando ya el fondo de los motivos de amparo, y al efecto de delimitar el debate procesal que plantea el primero de ellos, debemos afirmar que no se discute si es concorde con el art. 25.1 CE que la Administración disponga de un margen de apreciación al aplicar la normativa sancionadora, lo cual está fuera de toda duda, sino si, como exige la vertiente material del principio de legalidad sancionadora (art. 25.1 CE) en aras de garantizar la seguridad jurídica de los ciudadanos, ese margen está suficientemente predeterminado en la norma, concretamente en cuanto a la correlación entre la infracción y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resulta claro que el art. 10.2 LDC establece una serie de criterios generales que vinculan a la Administración al decidir sobre la importancia de la infracción y correlativamente sobre la cuantía de la sanción, lo que supone que la actuación de la Administración no es enteramente libre sino sujeta a ciertos parámetros señalados en la ley. Ahora bien, distinta es la perspectiva de la garantía material de la legalidad sancionadora, donde lo que importa es si el destinatario de la norma puede predecir, a partir de la normativa sancionadora y con suficiente grado de certeza, la gravedad de la sanción que cabría imponérsele por la conducta que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(SSTC 207/1990, de 17 de diciembre; 100/2003, de 2 de junio; y 210/2005, de 18 de julio) se ha ocupado de esta cuestión en supuestos en que la norma aplicable condicionaba la decisión administrativa sobre la gravedad de la infracción y la correlativa importancia de la sanción a través del señalamiento de criterios generales conforme a los cuales graduar ésta, pero, aun dividiendo las infracciones en categorías de gravedad, no establecía qué concretas conductas de las tipificadas habían de ser reputadas leves, cuáles graves y qué otras muy graves, de modo que la integración de cada conducta en cada una de esas categorías, aun cuando vinculada por criterios generales, se acordaba singularmente, caso por caso, por el órgano administrativo sancionador, considerando que este resultado abocaba a concluir que dicha norma no contenía una predeterminación constitucionalmente suficiente de la correspondencia entre infracciones y sanciones y, en consecuencia, que las sanciones impuestas a su amparo desconocían la vertiente material del principio de legalidad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configuración de la norma aplicable es distinta en este caso, pues resulta evidente que el art. 10 LDC no divide las infracciones que tipifica en categorías, lo que no significa, como de hecho pone de relieve el Fiscal, que entre esas infracciones haya unas leves, otras graves y otras muy graves y que el legislador no las haya diferenciado a la hora de atribuirles su correspondiente sanción, sino que ha considerado conveniente atribuir a todas las clases de conductas que tipifica una misma gravedad, que solo diferirá por las circunstancias de hecho que rodeen a la comisión concreta de las mismas, las cuáles tendrán su reflejo en la cuantificación de la multa por medio de la aplicación razonada de los criterios generales que dicho precepto enuncia. De acuerdo a esta interpretación, según la cual el art. 10 LDC tipifica una sola categoría de infracciones y una sola categoría de sanciones, no apreciamos ningún déficit de predeterminación normativa en la correlación entre infracciones y sanciones pues ésta es unívoca, procediendo por este motivo desestimar la primera de las alegaciones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de las invocaciones de la demanda exige partir de la reiterada doctrina constitucional según la cual “la prueba indiciaria puede sustentar un pronunciamiento condenatorio, sin menoscabo del derecho a la presunción de inocencia, siempre que: 1) el hecho o los hechos bases (o indicios) han de estar plenamente probados; 2) los hechos constitutivos del delito deben deducirse precisamente de estos hechos bases completamente probados; 3)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en las reglas de la experiencia común o, ‘en una comprensión razonable de la realidad normalmente vivida y apreciada conforme a los criterios colectivos vigentes’ (SSTC 300/2005, de 21 de noviembre, FJ 3; 111/2008, de 22 de septiembre, FJ 3 y 70/2010, FJ 3). Asumiendo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se considera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70/2010, de 18 de octubre, FJ 3; 25/2011, de 14 de marzo, FJ 8).” (STC 133/2011,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del criterio expuesto, la resolución administrativa no desconoce el derecho a la presunción de inocencia, pues ésta resulta enervada por una prueba indiciaria constitucionalmente válida, habida cuenta que el órgano sancionador explicita los hechos base —identidad de precios, acuerdo de intercambio de billetes— y los considera plenamente probados bien mediante la información solicitada a las encausadas bien por reconocimiento expreso de ellas mismas, concluyendo que había habido concertación sobre los precios inferencia que ni es “ilógica” ni “tan abierta que en su seno quepa tal pluralidad de conclusiones alternativas que ninguna de ellas pueda darse por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esta conclusión que el órgano sancionador, limitándose a la información que las navieras le entregaron a solicitud suya, no hubiera desenvuelto ninguna otra actividad indagatoria dirigida a obtener pruebas directas de la concertación de precios, pues dichas actividades de instrucción, particularmente las que la parte sugiere (solicitar documentación contable, colaboración o información de terceros, interrogatorio de empleados de las empresas, solicitud de un estudio pericial sobre posibles explicaciones alternativas), no parecían aptas para aportar datos relevantes sobre la existencia de una actuación encaminada a la concertación (reuniones, acuerdos expresos), sino sobre los propios hechos base (la efectiva evolución de los precios durante el período de tiempo examinado) que están ya sobradamente acreditados y que no son disputados por la actora, o sobre la explicación alternativa, que está ya suficientemente argumentada por las partes. Por todo ello, al ser pruebas inútiles, su falta de práctica no afecta a la virtualidad de la prueba indiciaria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igualmente descartar que la actora haya visto lesionado su derecho a la igualdad (art. 14 CE) porque a las tres operadoras se le hayan impuesto multas de idéntica cuantía cuando, dado que la actora solo opera en el restringido ámbito de la línea marítima donde se ha realizado la infracción mientras las otras dos actúan en el más amplio del transporte marítimo del sur de Europa y norte de África, presentan muy distinto volumen de negocio, pues subyace a este planteamiento una pretensión de trato desigual a supuestos desiguales y como es sabido “el principio de igualdad no puede fundamentar un reproche de discriminación por indiferenciación” (por todas, SSTC 164/1995, de 13 de noviembre, FJ 7; y 117/2006, de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prosperar la alegación de trato desigual contrario al art. 14 CE por la desproporción de la multa impuesta en comparación con las precedentes acordadas por el Tribunal de Defensa de la Competencia, pues la actora se limita a citar los casos, sin precisar las circunstancias de los mismos, en todo caso no lo suficiente para que este Tribunal pueda apreciar si son supuestos de hecho análogos al presente (sobre la necesidad de que los supuestos de hecho sean análogos en los casos de aplicación administrativa de la ley, STC 7/2009, de 12 de enero), de modo que no levanta la carga de acreditar un término homogéneo de contraste respecto del que verificar el juicio de igualdad, como era su obligación según reiterada doctrina constitucional (por todas, SSTC 31/2008, de 25 de febrero, FJ 3; y 161/2008, de 12 de diciembre, FJ 2).</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Buque Bus España, S.A., contra la Sentencia de la Sección Tercera de la Sala de lo Contencioso-Administrativo del Tribunal Supremo de 3 de febrero de 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