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444-2011, promovido por don Francisco Javier González Enríquez y otros, representados por el Procurador de los Tribunales don Jaime Briones Méndez y asistido por el Abogado don Jesús Remón Peñalver, contra el Auto del Juzgado de Primera Instancia núm. 87 de Madrid de 20 de octubre de 2010 y las providencias del mismo Juzgado de 30 de noviembre, 20 de diciembre y 22 de diciembre de 2010 recaídas en el procedimiento de diligencias preliminares 1711-2010. Han comparecido, el Banco de Bilbao Vizcaya Argentaria, S.A. (BBVA), representado por la Procuradora doña Ana Llorens Pardo y asistido por el Letrado don Jesús Ramón Peñalver y, la Asociación de usuarios de bancos, cajas de ahorros y seguros de España,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en el Registro General de este Tribunal el 24 de enero de 2011, el Procurador de los Tribunales don Jaime Briones Méndez, en nombre y representación de don Francisco Javier González y otros,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30 de julio de 2010 la Asociación de usuarios de bancos, cajas de ahorros y seguros de España, presentó demanda de diligencias preliminares contra BBVA por el cauce del art. 256.1.6 de la Ley de enjuiciamiento civil (LEC), en cuyo suplico solicitaba que se ordenara a esa entidad financiera entregar a la Asociación de usuarios de bancos, cajas de ahorros y seguros de España listados de clientes con sus datos personales e indicación de si habían contratado determinados productos financieros. Los demandantes de amparo habían contratado con el BBVA algunos de dichos productos financieros como se acredita con copia de los correspondientes “contratos cuota segura” que se acompañan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20 de octubre de 2010 el Juzgado de Primera Instancia núm. 87 de Madrid dictó Auto en el que se acordó la diligencia preliminar solicitada por la asociación de usuarios de bancos, cajas de ahorros y seguros de España y, en consecuencia, acordó requerir a la entidad BBVA para que, en el plazo improrrogable de 30 días desde la notificación de dicha resolución, procediese a entregar al Juzgado, para su puesta a disposición de la citada asociación, los listados diferenciados por productos financieros identificados bien por su código o referencia bancaria o por su código ISIN si dispusieran de él, en formato electrónico tipo excel o compatible, conteniendo la identificación de sus datos personales (nombre, apellidos, documento nacional de identidad, dirección postal actualizada, número de teléfono, fax y correo electrónico, si estuvieran disponibles), de todos los clientes, personas físicas, con la condición de consumidores o usuarios que hubieran contratado los productos financieros comercializados en toda España por el BBVA con la denominación comercial “contrato cuota segura”, “contrato marco para la cobertura de operaciones financieras” o similares, o cualquier otro tipo de productos de permuta financiera de tipos de interés, cualquiera que sea su denominación comercial, que tengan por objeto cubrir el riesgo de subidas de tipo de interés asociado a un préstamo o crédito con o sin garantía hipotecaria, concertado a interés variable, mediante la contratación de un derivado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20 de octubre de 2010 fue notificado a las partes entonces personadas en el procedimiento de diligencias preliminares núm. 1711-2010 a finales del mes de octubre de 2010. Los demandantes de amparo tuvieron conocimiento de dicho Auto por comunicación del BBVA y el 26 de noviembre de 2010 presentaron un escrito ante el Juzgado de Primera Instancia núm. 87 de Madrid en el que solicitaron: que se les tuviera por personados en el procedimiento de diligencias preliminares núm. 1711-2010; que al amparo de los arts. 228 LEC y 241 de la Ley Orgánica del Poder Judicial se tuviera por promovido incidente de nulidad de actuaciones contra el Auto de 20 de octubre de 2010 y se acordara su revocación; y que se acordara la suspensión del Auto hasta la resolución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del Juzgado de Primera Instancia núm. 87 de 30 de noviembre de 2010 el Juzgado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tener por parte ni personadas a las personas que lo promueven, toda vez que dichas personas no han sido parte en el proceso de diligencias preliminares y, por lo tanto, ninguna infracción procesal se ha cometido frente a ellos, sin perjuicio de que ventilen la pretendida vulneración de su derecho material a la protección de su intimidad en el procedimiento declarativo que corresponda, por cuanto una simple afectación tangencial de lo acordado en las diligencias preliminares no les da derecho a la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indicaba que contra ella cabía “recurso de reposición ante este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providencia de 30 de noviembre de 2010 los demandantes de amparo interpusieron recurso de reposición en el que se invocaba con carácter principal la infracción del art. 24.1 CE, en relación con los arts. 10 y 15.2 LEC. Por providencia de 20 de diciembre de 2010 del Juzgado de Primera Instancia núm. 87 de Madrid se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recibido escrito presentado en Decanato el pasado día 14 por el Procurador Sr. Briones Méndez, devuélvase sin dejar copia, y no ha lugar a la admisión del recurso que plantea toda vez que no se ha tenido por parte en las presentes actuaciones y por lo tanto no se puede admitir la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16 de diciembre de 2010 los demandantes de amparo presentaron un nuevo escrito ante el Juzgado en el que, tras haber tenido conocimiento por la prensa de que dicho Juzgado había dictado una resolución por virtud de la cual se ordenaba la recogida judicial de la documentación a la vista del tiempo transcurrido, ejercitan ante el Juzgado su derecho de cancelación y oposición al tratamiento de sus datos de carácter personal. Concretamente, se opusieron a que el Juzgado entregara sus datos de carácter personal a la Asociación de usuarios de bancos, cajas de ahorros y seguros de España y solicitaron que se eliminaran sus datos de carácter personal de la base de datos que, en su caso, hubiera entregado BBVA. Este escrito se acompañó de una petición formal de cancelación y oposición de los datos de carácter personal firmada por cada uno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22 de diciembre de 2010 el Juzgado acordó devolver el escrito junto con sus documentos, de conformidad con lo acordado en las resoluciones de 30 de noviembre y 20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desarrollar las concretas lesiones de derechos fundamentales invocadas, la demanda de amparo procede a justificar la especial trascendencia constitucional de su recurso, conforme a lo exigido por los arts. 49.1 in fine y 50.1 b) de la Ley Orgánica del Tribunal Constitucional (LOTC), sosteniendo que en este caso no se trata únicamente de que las resoluciones judiciales impugnadas hayan vulnerado su derecho a la tutela judicial efectiva, en relación con los derechos a la intimidad y a la protección de datos personales, sino que plantea una cuestión que reviste especial trascendencia constitucional a la luz de los criterios a los que se alude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 que el presente recurso justifica una decisión del Tribunal sobre el fondo en atención, en primer lugar, a la importancia que la misma ha de tener para la interpretación y aplicación de los derechos fundamentales, de manera que se determine si al aplicar el art. 256.1.6 LEC se están respetando o no las garantías derivadas de los arts. 18 y 24 CE; en segundo lugar, porque plantea un problema sobre una faceta de un derecho fundamental sobre la que no existe doctrina constitucional, en concreto, si es respetuoso con las exigencias del art. 18 CE que, en aplicación del art. 256.1.6 LEC, se ordene a una entidad financiera que ponga a disposición de una asociación de consumidores y usuarios los datos personales de sus clientes sin que en ningún momento se tenga en cuenta el poder de disposición sobre sus datos de esos mismos clientes e incluso se rechacen a limine los escritos presentados por los titulares de los datos ejerciendo sus derechos sobre ellos; y, en tercer lugar, porque se trata de una cuestión de alcance general que trasciende el caso concreto y tiene una importante repercusión social y económica en el momento actual, habida cuenta de la proliferación de solicitudes formuladas por asociaciones de consumidores y usuarios frente a entidades financieras en las que se reclama la entrega de listados conteniendo datos personales de sus clientes a fin de interponer futuras acciones colectivas basadas en la existencia de un presunto hecho dañoso.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exponer a continuación que la demanda cumple los restantes requisitos de los arts. 41 a 46 y 49 LOTC, pasa a analizar las concretas lesiones denunciadas. En la demanda de amparo se aduce, en primer lugar, que el Auto de 20 de octubre de 2010 y las restantes resoluciones impugnadas suponen entender que los arts. 15.2 y 256.1.6 LEC autorizarían a ordenar a una entidad que entregara datos personales de sus clientes a una asociación de consumidores y usuarios que pretende ejercitar una acción colectiva basada en un hecho dañoso, siendo inaplicables o cuando menos irrelevantes las garantías asociadas al derecho a la protección de los datos personales de esos clientes. Este criterio, a su juicio, ha de reputarse contrario al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recordatorio de la doctrina constitucional acerca del art. 18 CE y el haz de garantías que de él se derivan, señala la demanda de amparo que ni el art. 15.2 ni el art. 256.1.6 LEC establecen que deba producirse una cesión de los datos desde la entidad demandada a la posible asociación demandante. Afirma que no nos encontramos ante una norma reguladora del ejercicio del derecho a la protección de los datos personales o que imponga inequívocamente limitaciones a él de una manera que satisfaga el canon de constitucionalidad que deriva de la STC 292/2000. Esto tiene, para los demandantes de amparo, una evidente consecuencia jurídica y es que las “medidas oportunas para la averiguación”, a las que se refiere el art. 256.1.6 LEC, sean cuales sean, habrán de ser aquellas que resulten conformes con la Constitución y la jurisprudencia constitucional. Para los demandantes, dado que la referencia a dichas medidas es un numerus apertus, deberán seleccionarse aquellas que compatibilicen la finalidad legítima de la norma (la determinación del grupo de afectados que permita absolver la carga del art. 15.2 LEC) con el poder de disposición que sobre los datos personales tienen sus titulares. A estos efectos, recuerdan los demandantes que dentro del haz de facultades que incorpora el derecho a la protección de datos personales se encuentra el de ser informado de las circunstancias de cada cesión concreta a terceros distintos de aquellos a quienes el titular entregó inicialmente sus datos personales. Y ello con el fin de que el interesado pueda prestar, en su caso, un consentimiento expreso, claro e inequívoco a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de amparo el presente caso presenta una singularidad y es que habitualmente las referencias a las limitaciones de los derechos fundamentales entre sí o a las limitaciones derivadas de otros bienes constitucionalmente protegidos surgen de situaciones de conflicto o contraposición de intereses, en las cuales se estima que ha de sacrificarse algún derecho o interés en beneficio de otro más digno de protección en el concreto supuesto. Sin embargo, en el marco de los procesos colectivos para la protección de los derechos de los consumidores y usuarios, señalan los demandantes que no sería adecuado hablar propiamente de una contraposición de intereses entre el derecho fundamental a la protección de los datos personales y las normas reguladoras de la legitimación de las asociaciones de consumidores y usuarios, pues en ambos casos nos encontramos ante previsiones normativas con una finalidad tuitiva que confluye sobre las mismas personas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demandantes que la cesión no consentida de datos a la asociación que pretenda entablar una acción colectiva no resulta siquiera una medida necesaria para cumplir con la finalidad última de la regulación que se contiene en los arts. 15.2 y 256.1.6 LEC. A su entender, la finalidad de la norma es permitir que los integrantes del grupo puedan comparecer en el proceso iniciado por una asociación al ejercitar una acción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demandantes que el art. 18 CE no permite que, en aplicación del art. 256.1.6 LEC, se produzca una entrega por parte de quien dispone de los datos personales de los posibles afectados a quien pretende ejercitar la acción colectiva. Una medida como ésta, señalan, lesiona el derecho fundamental de los afectados a la intimidad y a la protección de sus datos personales, ya que un tercero tendrá acceso a esa esfera personal de su vida privada sin que ellos lo hayan consentido. De este modo, alegan que para conciliar el debido respeto a los derechos fundamentales cuya lesión se denuncia con las exigencias derivadas del art. 15.2 LEC, en conexión con el art. 256.1.6 LEC, habría bastado con requerir al banco demandado para que hiciera la comunicación legalmente exigida y acreditase haberla practicado. De esta forma, indican, sus datos no habrían salido fuera del círculo al fueron comunicados con su expreso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lo que se refiere a la providencia del Juzgado de Primera Instancia núm. 87 de Madrid de 22 de diciembre de 2010, señalan los demandantes que es claramente improcedente porque el ejercicio de las facultades asociadas al derecho fundamental a la protección de los datos personales no requiere que el titular de los datos tenga la condición de parte procesal en el concreto procedimiento en el que se produce el tratamiento de sus datos. A su juicio esto es algo que no resulta sólo de la doctrina establecida por la STC 292/2000, sino que también la propia normativa reguladora del ejercicio del derecho fundamental a la protección de datos personal dictada específicamente con respecto a los órganos judiciales prevé la posibilidad de ejercitar los derechos de acceso, rectificación y cancelación por los titulares de los datos con absoluta independencia de la posición procesal que les corresponda [así se deduce del art. 15 de la Ley Orgánica de protección de datos de carácter personal (LOPD), a su vez desarrollado por el art. 93 del acuerdo de 15 de septiembre de 2005, del Pleno del Consejo General del Poder Judicial, por el que se aprueba el Reglamento 1/2005, de los aspectos accesorios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la demanda de amparo que el art. 11.2 d) LOPD no se opone a la necesidad de garantizar el poder de disposición del titular de los datos en la aplicación de los arts. 15.2 y 256.1.6 LEC. El art. 11.2 d) LOPD excepciona la exigencia de consentimiento previo del afectado en aquellas cesiones de datos cuyos destinatarios sean los órganos allí mencionados (Defensor del Pueblo, Ministerio Fiscal, Jueces o Tribunales o el Tribunal del Cuentas y órganos autonómicos con funciones análogas al Defensor del Pueblo y Tribunal de Cuentas). En este contexto, se alega que cuando el art. 11.2 d) LOPD establece que el consentimiento del afectado no será necesario en el caso de cesiones cuyo destinatario sean los Jueces y Tribunales, ha de entenderse que está sustrayendo al poder de disposición del titular de los datos aquellos supuestos en los cuales el conocimiento de los datos por los órganos citados sea indispensable para que puedan realizar las funciones que constitucionalmente les corresponden. Por este motivo, añade, no puede considerarse que el art. 11.2 d) LOPD autorice a excepcionar el consentimiento del titular de los datos cuando el destinatario de dicha cesión no es en última instancia el órgano judicial que debe conocer los datos para cumplir sus funciones constitucionales, sino una entidad privada, como en este caso sería la asociación o entidad legitimada para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por los demandantes que la providencia de 30 de noviembre de 2010 vulnera su derecho a la tutela judicial efectiva (art. 24.1 CE) porque del art. 24.1 CE se deriva la necesidad de permitir la intervención en el proceso, en la posición que les corresponda, a aquellas partes que tengan intereses legítimos que puedan verse afectados por la decisión que se adopte. A su juicio, la decisión de la providencia de 30 de noviembre de 2010 se muestra excesivamente rigorista, formalista y desproporcionada, por determinar el cierre del proceso a unas personas cuyos derechos fundamentales se veían afectados de forma indudable y directa por la decisión adoptada en el Auto de 20 de octubre de 2010. Además, consideran que esa infracción del art. 24.1 CE en relación con la denegación de la personación de los demandantes de amparo traía causa de una exégesis no razonable de los arts. 10 y 15.2 LEC. Indican que es claro que los consumidores y usuarios, en la medida en la que son los titulares directos de la relación jurídica que pueda dar lugar al ejercicio de una acción colectiva por una asociación constituida para la defensa de esos intereses, han de ser considerados como parte legitima también en la fase preparatoria de una proceso de estas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añaden que la lesión del art. 24.1 CE se produce tanto en la providencia de 30 de noviembre de 2010, como en las providencias de 20 y 22 de diciembre de 2010, en la medida en la que incurren en una interpretación irrazonable o arbitraria de la legalidad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demanda, mediante otrosí, los demandantes solicitaron la suspensión inaudita parte, por razones de urgencia excepcional, de las resoluciones judiciales impugnadas. Razonan que de no acordarse la suspensión se ocasionaría un perjuicio irreparable por la afectación de los derechos a la intimidad y a la protección de datos de los demandantes. También mediante otrosí se solicita que, si la Sala lo tiene oportuno, se acuerde la celebración de la vista oral de conformidad con el art. 85.3 LOTC y que, con arreglo al art. 83 LOTC, se proceda a la acumulación de este recurso de amparo con el recurso de amparo núm. 8640-2010 interpuesto por la entidad BBVA contra las resoluciones recaídas en el procedimiento de diligencias preliminares núm. 1711-2010 del Juzgado de Primera de Instancia núm. 87 de Madrid. Por último, exponen que de manera insólita e injustificada el Juzgado de Primera Instancia núm. 87 de Madrid mediante providencia de 11 de enero de 2011 ha inadmitido incluso los escritos en virtud de los cuales se pidieron los testimonios de las resoluciones impugnadas en este recurso de amparo; por ello solicitan por medio de otrosí que sea el Tribunal Constitucional quien remita exhorto al Juzgado de Primera Instancia núm. 87 de Madrid para que envíe testimonio de las resoluciones contra las que se dirige esta demanda de amparo, para su debida constancia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marzo de 2012 la Sala Segunda de este Tribunal acordó, de conformidad con lo dispuesto en el art. 11.2 LOTC, conocer del presente recurso de amparo y admitir a trámite la demanda formulada por el Procurador don Jaime Briones Méndez en nombre y representación de don Francisco Javier González Enríquez y otros. En la misma providencia se acordó, en aplicación de lo dispuesto en el art. 51 LOTC, dirigir atenta comunicación al Juzgado de Primera Instancia núm. 87 de Madrid, a fin de que, en plazo que no excediera de diez días, remitiera certificación o copia adverada de las actuaciones correspondientes a las diligencias preliminares núm. 1711-2010, debiendo previamente emplazar a quienes hubieran sido parte en ese proceso, excepto la parte recurrente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el art. 83 LOTC, se concedió a las partes un plazo común de diez días para que efectuaran alegaciones sobre la posible acumulación de este recurso al seguido bajo el núm. 8640-2010 en la Sala Primera, si bien, por ATC 100/2012, de 21 de mayo, la Sala Segunda acordó denegar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marzo de 2012 la Sala acordó la formación de la oportuna pieza para la tramitación del incidente de suspensión solicitada por los actores, habiendo recaído el ATC 200/2012, de 29 de octubre, mediante el que la Sala denegó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el 9 de octubre de 2012. Tras exponer los antecedentes del caso, señala que en el examen de la demanda de amparo no puede prescindirse de la doctrina establecida en la STC 96/2012, así como de sus efectos. Recuerda que en esta Sentencia se examinó la pretensión de amparo formalizada por la entidad bancaria BBVA frente a la decisión judicial de entrega de los datos personales de los clientes que hubieran suscrito determinados productos financieros, que fue acordada por el Juzgado de Primera Instancia núm. 87 de Madrid, por Auto de 20 de octubre de 2010. Añade que en el presente caso, quienes acuden en amparo ante este Tribunal son precisamente algunas de las personas físicas titulares de los datos personales cuya cesión fue acordada en la citada resolución judicial, impugnando dicha decisión, y las anteriores que les denegaron su personación en el procedimiento. Se trata, así, de pretensiones que guardan una relación sustancial de conexidad, y que su diferencia reside en la distinta cualidad de los demandantes. Sustancial identidad que, indica el Fiscal, hubiera dado lugar a la acumulación de ambos procesos si no fuera por el hecho de que el recurso de amparo núm. 8649-2010, interpuesto por la entidad bancaria BBVA, y que dio lugar a la citada STC 96/2012, ya había sido resuelto en el momento en que se planteó dicha acumulación, como así estableció el ATC 100/2012,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núcleo principal de la queja de los recurrentes, dirigida a cuestionar la cesión judicial de datos personales por haberse acordado sin previa comunicación de la medida y sin previo consentimiento de los titulares de dichos datos, considera el Fiscal que declarada la nulidad del Auto de 20 de octubre de 2010 por la STC 96/2012, el primer motivo de amparo invocado por los demandantes habría decaído, al estar dirigido precisamente contra esa misma resolución, alegando la vulneración del derecho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hilo de la doctrina expuesta en la STC 96/2012, considera oportuno realizar una serie de consideraciones desde la óptica que plantean los hoy demandantes de amparo, en su condición de titulares de los datos personales objeto de cesión. Así, señala que conforme a lo dispuesto en el fundamento jurídico 8 de la STC 96/2012, no sería admisible el argumento de los demandantes, según el cual la cesión de sus datos personales, a disposición de la entidad BBVA, para ser entregados a la Asociación de usuarios de bancos, cajas de ahorros y seguros de España, exigía necesariamente y en todo caso de su consentimiento, pues nada impedía, prima facie, que el órgano judicial pudiera acordar una cesión inconsentida al tratarse de una medida prevista legalmente y adoptada en el ejercicio de sus funciones en el marco de unas diligencias preliminares, como medida previa al ejercicio de una acción colectiva en defensa de los consumidores y usuarios. No obstante, señala, que esta decisión judicial, para que pueda calificarse de constitucionalmente legítima, debe estar sometida a un previo juicio de ponderación, por el que el Juez motive la adecuación de la medida acordada a la finalidad, justa causa e interés legítimo exigidos por el art. 258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sentada en los fundamentos jurídicos 9 y 11 de la STC 96/2012, el Fiscal extrae las siguientes conclusiones de aplicación al presente recurso de amparo. En primer lugar, la cesión de datos personales a terceros no exige, en principio, de consentimiento expreso de los titulares de dichos datos, contando, además, con suficiente cobertura normativa. En segundo lugar, en todo caso, la resolución judicial por la que se acuerde dicha cesión debe justificar el juicio de proporcionalidad de la medida, y, por tanto, exteriorizar las razones por las cuales, en el caso concreto, la medida de cesión acordada es idónea, necesaria y proporcionada en sentido estricto. En tercer lugar, es precisamente este último presupuesto constitucional el que, según la STC 96/2012, no cumplía el Auto de 20 de octubre de 2010, que motivó el otorgamiento del amparo y su declaración de nulidad. A idéntica conclusión, afirma el Fiscal, debe llegarse en el presente caso. No obstante, señala que, declarada ya la nulidad de la resolución judicial impugnada resultaría innecesaria una nueva declaración en el mismo sentido. Por ello propone que se admita el amparo por vulneración del derecho a la protección de datos personales, sin que dicho otorgamiento requiera, para reparar los efectos de la lesión, de una nueva declaración de nulidad del Auto de 20 de octubre de 2010, dictado por el Juzgado de Primera Instancia núm. 87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de amparo alegado por los recurrentes, la lesión del derecho a la tutela efectiva, señala el Fiscal que el órgano judicial debió admitir la personación de los hoy recurrentes y dar respuesta a la solicitud de nulidad de actuaciones basada en la lesión del derecho fundamental del art. 18.4 CE, en cuanto titulares de un interés legítimo. A su juicio, la resolución providencia de 30 de noviembre de 2010 impidió el acceso al proceso de los demandantes y, por tanto la defensa de sus derechos, frente a una resolución judicial que afectaba de forma nuclear y directa al contenido de su derecho a la protección de datos personales. Afirma que la lesión del derecho a la tutela judicial efectiva es imputable, también, a las posteriores providencias de 20 y 22 de diciembre de 2010, que traen su causa de la anterior providencia de 30 de noviembre de 2010, y que perpetúan la decisión de denegación de la personación de los demandantes en el procedimiento de diligencias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con el siguiente pronunciamiento: otorgamiento del amparo solicitado por los demandantes por lesión del derecho a la protección de datos personales y a la tutela judicial efectiva; declaración de nulidad de las providencias de 30 de noviembre, 20 de diciembre y 22 de diciembre de 2010, dictadas por el Juzgado de Primera Instancia núm. 87 de Madrid; retroacción de actuaciones al momento inmediatamente anterior a dictarse la primera de dichas providencias para que el órgano judicial dicte nueva resolución judicial respetuosa de los derechos fundamentales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ejecución de la STC 96/2012, de 7 de mayo, de la Sala Primera de este Tribunal, el Juzgado de Primera Instancia núm. 87 de Madrid dictó Auto el 23 de mayo de 2012 acordando inadmitir la petición de medidas preliminares solicitada por la Asociación de usuarios de bancos, cajas de ahorros y seguros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noviembre de 2012, se acordó señalar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20 de octubre de 2010, así como contra las providencias de 30 de noviembre, 20 de diciembre y 22 diciembre de 2010 recaídas en el procedimiento de diligencias preliminares núm. 1171-2010 del Juzgado de Primera Instancia núm. 87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con mayor detalle en el relato de antecedentes, el Auto impugnado acordó, en virtud del art. 256.1.6 de la Ley de enjuiciamiento civil, requerir a la entidad Banco de Bilbao Vizcaya Argentaria, S.A. (BBVA), la entrega al Juzgado de los listados diferenciados por productos financieros, en fichero electrónico excel o compatible, que contuvieran los datos personales (nombre y apellidos, documento nacional de identidad, dirección postal actualizada y números de teléfono, fax y correo electrónico, si estuvieren disponibles) de los clientes personas físicas que, en toda España y desde el año 2007 a octubre de 2010, hubieran contratado con dicha entidad bancaria determinados productos financieros, con la finalidad de ponerlos a disposición de la asociación la Asociación de usuarios de bancos, cajas de ahorros y seguros de España, que pretendía emprender acciones en defensa de los intereses colectivos de consumidores y usuarios, con fundamento en la existencia de presuntas cláusulas abusivas en los contratos de suscripción de tales productos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tener conocimiento de dicho Auto, por comunicación del BBVA, los demandantes de amparo solicitaron su personación ante al Juzgado, al tiempo que promovían incidente de nulidad de actuaciones que solicitaban su suspensión hasta la resolución del incidente. El órgano judicial, por medio de sucesivas providencias de 30 de noviembre, 20 y 22 de diciembre de 2010 rechazó la personación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denuncian que el Auto de 20 de octubre de 2010 vulnera el art. 18.4 CE, al haber acordado que la entidad financiera, a la que los demandantes entregaron sus datos personales, debía ceder, sin contar con el consentimiento previo de los titulares, dichos datos a un tercero, por lo que el órgano judicial debió, a su juicio, rechazar la solicitud formulada por la Asociación de usuarios de bancos, cajas de ahorros y seguros de España. Asimismo, como segundo motivo de amparo, los demandantes denuncian la vulneración del derecho a la tutela judicial efectiva (art. 24.1 CE) por parte de las providencias impugnadas, al haber rechazado su solicitud de personación en el citado procedimiento de diligencia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en los términos que han quedado relatados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delimitando el objeto de nuestro pronunciamiento advirtiendo que la reciente STC 96/2012, de 7 de mayo, de la Sala Primera de este Tribunal, estimando el recurso de amparo interpuesto por el BBVA, ha declarado la nulidad del impugnado Auto de 20 de octubre de 2010, por considerarlo lesivo del derecho fundamental a la protección de datos de carácter personal (art. 18.4 CE) en relación con el derecho a la tutela judicial efectiva (art. 24.1 CE). En consecuencia, coincidiendo con el Ministerio Fiscal, debemos considerar que ha decaído el primer motivo de amparo invocado por los demandantes, al estar dirigido precisamente contra esa misma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subsiste la necesidad de examinar si las providencias de 30 de noviembre, 20 de diciembre y 22 diciembre de 2010, que denegaron a los demandantes de amparo el acceso al proceso de diligencias preliminares, han vulnerado su derecho a la tutela judicial efectiva (art. 24.1 CE), no ya porque se trata de una impugnación ajena al contenido del recurso resuelto por la antes mencionada STC 96/2012, de 7 de mayo, sino porque es preciso resolver si los demandantes de amparo ostentan derecho a conocer e intervenir en las actuaciones que eventualmente puedan tener lugar en las mencionadas diligencias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ha quedado visto, los recurrentes sostienen que la decisión de la providencia de 30 de noviembre de 2010 de denegar su personación en las actuaciones resulta rigorista, formalista y desproporcionada, por determinar el cierre del proceso a personas cuyos derechos fundamentales se veían afectados de forma indudable y directa por la decisión adoptada en el Auto de 20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de aplicación al caso la doctrina de este Tribunal según la cual el reconocimiento por el art. 24.1 CE del derecho a la tutela judicial efectiva a todas las personas que son titulares de derechos e intereses legítimos, impone a los Jueces y Tribunales la obligación de interpretar las fórmulas que las leyes procesales utilicen en orden a la atribución de legitimación activa, no sólo de manera razonable y razonada, sin sombra de arbitrariedad ni error notorio, sino en sentido amplio y no restrictivo (por todas, STC 28/2005, de 14 de febrero, FJ 2). Como reiteradamente venimos diciendo al tratar del concepto de legitimación (por todas, SSTC 28/2005, de 14 de febrero; 52/2007, de 12 de marzo, FJ 2; y 25/2008, de 11 de febrero, FJ 4), la apreciación de cuándo concurre un interés legítimo, y por ende de la legitimación activa para recurrir, es, “en principio, cuestión de legalidad ordinaria que compete a los órganos judiciales ex art. 117.3 CE, de suerte que el Tribunal Constitucional no puede imponer su juicio al de aquéllos, pero sí puede, velando ex art. 24.1 CE por que las normas procesales que la regulan sean interpretadas y aplicadas conforme a las exigencias reseñadas del principio pro actione, estimar que el razonamiento concreto que sustenta una precisa decisión de inadmisión por falta de legitimación lesiona el citado derecho fundamental” (STC 139/2010, de 21 de diciembre, FJ 4). El interés legítimo es cualquier ventaja o utilidad jurídica derivada de la reparación pretendida (SSTC 252/2000, de 30 de octubre, FJ 3; 173/2004, de 18 de octubre, FJ 3; y 73/2006, de 13 de marzo, FJ 4). En consecuencia, para que exista interés legítimo, la actuación impugnada debe repercutir de manera clara y suficiente en la esfera jurídica de quien acude al proceso (STC 45/2004, de 23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a lo anterior, que el canon de constitucionalidad a aplicar en el presente caso es un canon reforzado, ya que el derecho a la tutela judicial efectiva se impetra para la defensa de un derecho sustantivo fundamental como es el derecho a la protección de datos de carácter personal.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y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a las circunstancias del presente caso, está fuera de toda duda que en el procedimiento de diligencias preliminares se planteó una cuestión que afectaba directamente a los demandantes de amparo, pues eran sus datos personales los que la entidad BBVA tenía que poner a disposición de la Asociación de usuarios de bancos, cajas de ahorros y seguros de España. Asimismo, es notorio que la comunicación de datos personales de clientes puede entrañar una lesión del derecho a la protección de datos de carácter personal. Y no lo es menos que tal derecho confiere a su titular ex art. 24.1 CE un indiscutible interés legítimo en el acceso a los procedimientos judiciales en los que pueda verse menoscabado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30 de noviembre de 2010 estimó que “una simple afectación tangencial de lo acordado en las diligencias preliminares no les daba derecho a la personación”. Sin embargo, el Auto de 20 de octubre de 2010, frente al que se interpuso el correspondiente incidente de nulidad de actuaciones, no afectaba de forma “tangencial” a los recurrentes, sino de forma nuclear y directa al contenido del derecho a la protección de datos personales, tal como sostienen los recurrentes en su demanda y ha sido reconocido en la STC 96/2012, de 7 de mayo. En consecuencia, la providencia recurrida, al negar a los recurrentes su derecho a la personación, realizó una interpretación del concepto de interés legítimo irrazonable en la medida en que se negaba dicho interés a quienes eran titulares de los datos personales cuya cesión fue acordada por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es también imputable a las providencias de 20 y 22 de diciembre de 2010. La primera de ellas, como se ha expuesto en los antecedentes, denegó la admisión del recurso de reposición interpuesto por los demandantes contra la anterior providencia de 30 de noviembre de 2010, al entender el órgano judicial que la decisión de no tenerles por parte en el proceso impedía la admisión del recurso de reposición. De este modo, la inadmisión del recurso por la razón alegada reitera la lesión del derecho a la tutela judicial efectiva de los recurrentes, pues impidió combatir la decisión inicial de denegación de su personación. Por último, la providencia de 22 de diciembre de 2010, ni siquiera dio curso al escrito presentado por los demandantes mediante el que pretendían ejercitar su derecho de cancelación y oposición al tratamiento de sus datos de carácter personal sobre la base de la previa denegación de personación. Esta decisión vulneró nuevamente el derecho a la tutela judicial efectiva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cuanto antecede, procede otorgar el amparo a los demandantes y, de conformidad con el art. 55 LOTC, restablecerles en su derecho mediante la anulación de las providencias impugnadas, pero sin retroacción de las actuaciones procesales al momento en que se causó la lesión del art. 24.1 CE apreciada, pues habiendo dictado el órgano judicial una nueva resolución (Auto de 23 de mayo de 2012) coincidente con la pretensión de los demandantes de rechazo de la medida preliminar solicitada por la Asociación de usuarios de bancos, cajas de ahorros y seguros de España, por razones de economía procesal es preciso mantener la eficacia de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González Enríquez y otros,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anular las providencias de 30 de noviembre, 20 de diciembre y 22 de diciembre de 2010 del Juzgado de Primera Instancia núm. 87 de Madrid, recaídas en el procedimiento de diligencias preliminares núm. 1711-2010.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