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221</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26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143-2012, promovido por don Prince Basil Akpaka, representado por la Procuradora de los Tribunales doña María Jesús Rivero Ratón y asistido por el Abogado don Luis María Chamorro Coronado, contra el Auto núm. 706/2011, de 27 de diciembre, de la Sección Primera de la Sala de lo Penal de la Audiencia Nacional recaído en recurso de apelación núm. 558-2011, interpuesto contra el Auto dictado por el Juzgado Central de Vigilancia Penitenciaria en fecha 15 de marzo de 2011 expediente núm. 614-2009. Ha intervenido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11 de enero de 2012, la Procuradora de los Tribunales doña María Jesús Rivero Ratón, en nombre y representación don Prince Basil Akpaka y bajo la dirección del Abogado don Luis María Chamorro Coronado, interpuso recurso de amparo contra las resoluciones judiciales contenidas en el inicial Auto de 15 de marzo de 2011 dictado por el Juzgado Central de Vigilancia Penitenciaria, confirmado por Auto de 27 de diciembre de 2011, dictado por la Sección Primera de la Sala de lo Penal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don Prince Basil Akpaka sufrió prisión preventiva entre el día 10 de octubre de 2003 y el día 4 de octubre de 2004 en las diligencias previas núm. 221-2004 del Juzgado Central de Instrucción núm. 1, procedimiento dimanante de las diligencias previas núm. 808-2003 del Juzgado de Instrucción núm. 3 de Móstoles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procedimiento se acordó, respecto del demandante de amparo, el sobreseimiento provisional, de conformidad con lo establecido en el art. 641.2 de la Ley de enjuiciamiento criminal, en virtud de Auto de fecha 10 de octubre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Sección Primera de la Sala de lo Penal de la Audiencia Nacional, mediante Sentencia recaída con fecha 13 de noviembre de 2007 en el rollo núm. 46-2006, dimanante del sumario núm. 13-2006 del Juzgado Central de Instrucción núm. 5, condenó a don Prince Basil Akpaka en los siguientes términos: i) como autor de un delito de falsedad de tarjetas de crédito en la modalidad de tenencia para la expedición a la pena de cuatro años de prisión, con la accesoria de inhabilitación especial para el ejercicio del derecho de sufragio pasivo durante el tiempo de la condena; ii) como autor de un delito continuado de estafa a la pena de seis meses de prisión, con la misma accesoria por el tiempo de la condena; y iii) como autor de un delito de falsedad en documento oficial a las penas de seis meses de prisión y multa de seis meses con cuota diaria de diez euros. Esta condena, una vez firme, dio lugar a la ejecutoria 7-2008 de la Sección Primera de la Sala de lo Penal de la Audiencia Nacional, en la que se fijó como día de inicio del cumplimiento el 11 de julio de 2009 y como día final de tal cumplimiento el día 25 de julio de 2014, todo ello con abono de la prisión preventiva sufrida en esa causa entre el día 17 de abril de 2008 y el día 24 de junio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penado don Prince Basil Akpaka, por medio de escrito de fecha 15 de julio de 2010, solicitó del Juzgado Central de Vigilancia Penitenciaria que para el cumplimiento de esta última responsabilidad dimanante de la ejecutoria 7-2008 de la Sección Primera de la Sala de lo Penal de la Audiencia Nacional le fuera computado el período de prisión preventiva sufrido entre el día 10 de octubre de 2003 y el día 4 de octubre de 2004 en las diligencias previas núm. 221-2004 del Juzgado Central de Instrucción núm. 1. La petición fue formulada en sobre cerrado por el penado y remitida por el centro penitenciario de La Moraleja (Dueñas-Palencia) al Juzgado Central de Vigilancia Penitenciaria con oficio de fecha 20 de julio de 2010, uniéndose en tal Juzgado al expediente de peticiones y quejas núm. 614-2009.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centro penitenciario de La Moraleja (Dueñas-Palencia) informó, en oficio de fecha 17 de noviembre de 2010, lo siguiente: i) que el indicado penado sufrió prisión preventiva entre el día 10 de octubre de 2003 y el día 4 de octubre de 2004; ii) que tal período de prisión preventiva no le había sido abonado a ninguna causa; iii) que se hallaba cumpliendo condena en la ejecutoria 7-2008 de la Sección Primera de la Sala de lo Penal de la Audiencia Nacional; y iv) que los delitos por los que se hallaba cumpliendo condena habían sido cometidos el día 4 de octubre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día 25 de diciembre de 2010 el demandante de amparo dirigió escrito al Juzgado de Vigilancia Penitenciaria núm. 4 de Castilla y León (Palencia) solicitando el abono a la causa que se hallaba extinguiendo de la prisión preventiva sufrida entre el día 10 de octubre de 2003 y el día 4 de octubre de 2004. El Juzgado, por Auto de 5 de octubre de 2010, acordó inhibirse a favor del Juzgado Central de Vigilancia Penitenciaria y éste, una vez opuesto el Ministerio Fiscal a lo solicitado por el penado en dictamen de fecha 11 de marzo de 2011, dictó Auto de fecha 15 de marzo de 2011 en el que desestimó la solicitud del demandante de amparo. La resolución entendía que no concurría el requisito previsto en el artículo 58.3 del Código penal (CP), señalando literalmente que “la prisión preventiva sufrida en las D.P. 221-04 del Juzgado Central de Instrucción abarca desde el 10-10-03 al 4-10-04, en tanto que los hechos por los que ha sido condenado y cumple pena en virtud de sentencia 69-07 de la Sección primera de la Sala de lo Penal de la Audiencia Nacional fueron cometidos el 4-10-05”.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escrito fechado a 6 de abril de 2011 el penado anunció su propósito de recurrir en apelación y, mediante escrito de fecha 29 de junio de 2011 el Letrado del turno de oficio designado promovió el rollo de apelación núm. 558-2011 de la Sección Primera de la Sala de lo Penal de la Audiencia Nacional, que dictó con fecha 27 de diciembre de 2011 Auto por el que desestimó el recurso de apelación entablado contra el Auto dictado por el Juzgado Central de Vigilancia Penitenciaria en el expediente de peticiones y quejas núm. 614-2009 con fecha 15 de marzo de 2011, entendiendo que “al ser los hechos por los que cumple condena de fecha posterior a la preventiva, no procede su abono”.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aduce en su demanda de amparo la vulneración del derecho a la libertad del art. 17.1 CE, y basa sus razonamientos, en síntesis, en los siguientes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Autos recurridos hacen una interpretación literal del art. 58.3 CP que resulta perjudicial para el penado, con vulneración de su derecho fundamental a la libertad y al principio de interpretación de la legalidad en el sentido más favorable a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Tal interpretación literal ha sido superada por la interpretación teleológica que efectúa la Sala Segunda del Tribunal Supremo en resoluciones como las SSTS 808/2000, de 11 de mayo; 2394/2001, de 18 de diciembre; 1021/2005, de 20 de septiembre; y 951/2008, de 18 de diciembre, en cuyo fundamento jurídico 3, ha dejado dicho que “una interpretación literal del precepto mencionado podría llevar a soluciones excesivamente rigurosas en perjuicio del reo, si tenemos en cuenta que pueden darse supuestos en los que la aplicación estricta del requisito cronológico impida el abono en relación con otras causas sin que se produzca tal situación de impunidad, en cuyo caso parece razonable llevar el momento relevante al conocimiento por el condenado de su absolución o imposición de una pena por tiempo inferior al de la prisión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juicio del recurrente, ha de permitirse el abono referido en casos de hechos delictivos cometidos con posterioridad al ingreso en prisión, siempre que esos hechos delictivos, por los que en definitiva ha de cumplirse la pena, sean anteriores a la fecha en que el reo tuvo conocimiento de la sentencia que le absolvió (o impuso pena menor a la prisión ya sufrida) en la causa en la que la prisión provisional fue acordada, pues sólo a partir del momento en que tal sentencia fue conocida por el interesado cabe decir que éste puede actuar con el sentimiento de impunidad que constituye el fundamento de la limitación o excepción expresada en la frase final del art. 58.1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presente caso, el demandante de amparo tuvo conocimiento del sobreseimiento provisional decretado en las diligencias previas núm. 221-2004 del Juzgado Central de Instrucción núm. 1 en fecha 10 de octubre de 2008, esto es, con posterioridad a la fecha en que fue dictada por la Sección Primera de la Sala de lo Penal de la Audiencia Nacional la sentencia correspondiente al rollo núm. 46-2006, que lo fue el día 13 de noviembre de 2007, con lo que se cumple el requisito establecido por la jurisprudencia del Tribunal Supremo para que se produzca el abono de la prisión preventiva sufrida en otra causa, de inexistencia de crédito de impunidad que constituye el fin del art. 58.3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de16 de junio de 2012 la Sala Primera de este Tribunal acordó la admisión a trámite de la demanda de amparo presentada y, de conformidad con lo dispuesto en el art. 51 de la Ley Orgánica del Tribunal Constitucional (LOTC), dirigir atenta comunicación a la Sala de lo Penal de la Audiencia Nacional y al Juzgado Central de Vigilancia Penitenciaria para que respectivamente remitieran certificación o fotocopia adverada de las actuaciones correspondientes al rollo de apelación núm. 558-2011 y del expediente de queja núm. 614-2009, y se emplazase a quienes hubieran sido parte en el citado procedimiento para que en el plazo de diez días pudieran comparecer en este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este Tribunal de fecha 21 de septiembre de 2012 se acordó tener por recibidos los testimonios de las actuaciones reclamadas y, con arreglo al art. 52 LOTC, conceder al Ministerio Fiscal y a las partes personadas plazo común de veinte días para que, con vista de las actuaciones recibidas, formulasen alegaciones, que fueron efectuadas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24 de octubre de 2012 el demandante presentó alegaciones insistiendo en las ya formuladas en su escrito de demanda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5 de noviembre de 2012 el Ministerio Fiscal presentó su escrito de alegaciones. Opone con carácter previo la posible existencia del óbice de carácter procesal referente al incumplimiento por la parte demandante de amparo del requisito del agotamiento de la vía judicial previa [arts. 44.1 a) y 50.1 a) LOTC], al no haber planteado contra el Auto dictado por la Sección Primera de la Sala de lo Penal de la Audiencia Nacional en el rollo de apelación núm. 558-2011 con fecha 27 de diciembre de 2011 el oportuno recurso de casación para la unificación de doctrina, ni haber justificado suficientemente en la demanda su inviabilidad, interesando que se declare la inadmisión del presente recurso de amparo, conforme a lo establecido en el arto 44.1 a) LOTC, por falta de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el Ministerio Fiscal invoca como sentencias de contraste las SSTS 1021/2005 de 20 de septiembre y 951/2008 de 18 de diciembre. Tales resoluciones se refieren, en extracto, y en lo concerniente a la primera, al abono de prisión preventiva por hechos delictivos cometidos con posterioridad al cumplimiento de la medida cautelar, pero anteriores a la notificación de la Sentencia absolutoria y la segunda, reconoce la procedencia del abono de la prisión preventiva por hechos cometidos en el espacio temporal intermedio entre la prisión preventiva sufrida y la Sentencia absolutoria dictada en la causa correspondiente a dicha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el Ministerio Fiscal interesa que se declare vulnerado el derecho de don Prince Basil Akpaka a la libertad (art. 17.1 CE) y, en consecuencia, se declare la nulidad del auto dictado por el Juzgado Central de Vigilancia Penitenciaria en el Expediente de peticiones y quejas núm. 614-2009 con fecha 15 de marzo de 2011 y del auto dictado por la Sección Primera de la Sala de lo Penal de la Audiencia Nacional en el rollo de apelación núm. 558-2011 con fecha 27 de diciembre de 2011, retrotrayéndose las actuaciones al momento procesal inmediatamente anterior al dictado del primero de esos Autos para que se dicte una nueva resolución respetuosa con el derecho fundamental que ha de ser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noviembre de 2012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27 de diciembre de 2011 de la Sección Primera de la Sala de lo Penal de la Audiencia Nacional, que desestimó el recurso de apelación presentado contra el Auto dictado por el Juzgado Central de Vigilancia Penitenciaria en el expediente de peticiones y quejas núm. 614-2009 con fecha 15 de marzo de 2011 que desestimó su petición de que se abonara a la causa que se hallaba extinguiendo (en la ejecutoria 7-2008 de la Sección Primera de la Sala de lo Penal de la Audiencia Nacional) la prisión preventiva sufrida entre el día 10 de octubre de 2003 y el día 4 de octubre de 2004 en las diligencias previas núm. 221-2004 del Juzgado Central de Instrucción núm. 1 (dimanantes de las diligencias previas núm. 808-2003 del Juzgado de Instrucción núm. 3 de Móstoles). En la demanda de amparo se denuncia, con la argumentación que ha quedado expuesta en los antecedentes de esta resolución, la vulneración del derecho fundamental a la libertad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Fiscal interesa con carácter principal la inadmisión del recurso de amparo ex arts. 44.1 a) y 50.1 a) de la Ley Orgánica del Tribunal Constitucional (LOTC), por considerar incumplido el requisito del agotamiento de la vía judicial, y subsidiariamente su 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tiene reiteradamente declarado que los defectos insubsanables de que pudiera estar afectado el recurso de amparo no resultan subsanados porque haya sido inicialmente admitido a trámite, de forma que la comprobación de los presupuestos procesales para la viabilidad de la acción pueden volverse a abordar o reconsiderar en la Sentencia, de oficio o a instancia de parte, dando lugar a un pronunciamiento de inadmisión por la falta de tales presupuestos, sin que para ello constituya obstáculo el carácter tasado de los pronunciamientos previstos en el art. 53 LOTC (por todas, SSTC 18/2002, de 28 de enero, FJ 3; 158/2002, de 16 de septiembre, FJ 2; 69/2004, de 19 de abril, FJ 3; y 89/2011, de 6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esos presupuestos inexcusables para la admisibilidad de toda demanda de amparo se encuentra la exigencia establecida por el art. 44.1 a) LOTC de “que se hayan agotado todos los medios de impugnación previstos por las normas procesales para el caso concreto dentro de la vía judicial”. La exigencia de agotamiento de la vía judicial previa tiene por objeto preservar el carácter subsidiario del recurso de amparo, evitando que el acceso a esta jurisdicción constitucional se produzca per saltum, esto es, sin dar oportunidad a los órganos judiciales de pronunciarse y, en definitiva, remediar la lesión que luego se invoca como fundamento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requisito de agotar la vía judicial no es en modo alguno una formalidad cuya eficacia real pueda ser debilitada por una interpretación decididamente antiformalista del precepto que la contiene, sino que se trata de un elemento esencial en el sistema de articulación de la jurisdicción constitucional con la jurisdicción ordinaria, cuyo exacto cumplimiento resulta indispensable para preservar el ámbito que la Constitución reserva a la jurisdicción ordinaria (art. 117.3 CE) y al propio tiempo para no desnaturalizar la función jurisdiccional propia de este Tribunal como intérprete supremo de la Constitución (entre otras muchas, SSTC 85/1999, de 10 de mayo, FJ 5; 211/1999, de 29 de noviembre, FJ 2; 71/2000, de 13 de marzo, FJ 3; 128/2002, de 3 de junio, FJ 2; y 174/2011, de 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examinado, el análisis de las actuaciones conduce a apreciar la concurrencia del óbice aducido por el Ministerio Fiscal en su escrito de alegaciones, al no haberse interpuesto el recurso extraordinario de casación para unificación de doctrina, que en el ámbito penitenciario fue introducido por la Ley Orgánica 5/2003, de 27 de mayo, por la que se modifica la Ley Orgánica 6/1985, de 1 de julio, del Poder Judicial; la Ley Orgánica 1/1979, de 26 de septiembre, general penitenciaria, y la Ley 38/1988, de 28 de diciembre, de demarcación y de planta judicial. Esta Ley Orgánica 5/2003 modificó la disposición adicional quinta de la Ley Orgánica del Poder Judicial, que dispone en su apartado séptimo lo siguiente: “Contra los autos de las Audiencias Provinciales y, en su caso, de la Audiencia Nacional, resolviendo recursos de apelación, que no sean susceptibles de casación ordinaria, podrán interponer, el Ministerio Fiscal y el Letrado del penado, recurso de casación para la unificación de doctrina ante la Sala de lo Penal del Tribunal Supremo, el cual se sustanciará conforme a lo prevenido en la Ley de enjuiciamiento criminal para el recurso de casación ordinario, con las particularidades que de su finalidad se deriven. Los pronunciamientos del Tribunal Supremo al resolver los recursos de casación para la unificación de doctrina en ningún caso afectarán a las situaciones jurídicas creadas por las sentencias precedentes a la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exigibilidad de la interposición del recurso de casación para la unificación de doctrina como requisito para el agotamiento de la vía judicial previa, ha sido examinada por la doctrina de este Tribunal (por todas, SSTC 183/2007, de 10 de septiembre, FJ 2; y 2/2009, de 12 de enero, FJ 2) que ha subrayado como la especial naturaleza de dicho recurso, condicionado legalmente a la concurrencia de rígidos requisitos de admisión sobre identidad y contradicción, determina que su interposición no resulte siempre preceptiva para dar por agotada la vía judicial, siendo únicamente exigible, a los efectos de la subsidiariedad del amparo, cuando no quepa duda respecto de su procedencia. Y es igualmente cierto, conforme a esa misma doctrina, que corresponde a quien pretende hacer valer su no interposición como motivo de inadmisibilidad acreditar la posibilidad de recurrir a esta extraordinaria vía en el supuesto concreto (así, en SSTC 153/2004, de 20 de septiembre, FJ 2; 192/2006, de 19 de junio, FJ 2; 227/2006, de 17 de julio, FJ 2; y 17/2007, de 12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supuesto, el Ministerio Fiscal cumple con la carga de poner de manifiesto la viabilidad de la casación para la unificación de doctrina contra el Auto de la Audiencia Nacional, al alegar correctamente, a juicio de este Tribunal, la existencia de un supuesto idéntico y contradictorio que se planteaba en la STS 1021/2005, de 20 de septiembre, donde concurría la misma situación de abono de prisión preventiva por hechos delictivos cometidos con posterioridad al cumplimiento de la medida cautelar, pero anteriores a la notificación de la sentencia absolutoria, considerando dicha STS 1021/2005, de 20 de septiembre, FJ 2, que debía permitirse el abono de prisión preventiva en este caso, lo cual revela la identidad de hecho y de Derecho existente entre el caso examinado en esta vía de amparo y el resuelto por esta última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constata, en consecuencia, la ausencia del requisito insubsanable de la falta de agotamiento de la vía judicial previa y el incumplimiento del artículo 44.1 a) LOTC. A mayor abundamiento, en la propia demanda de amparo se cita también la STS 951/2008 de 18 de diciembre de la Sala Segunda del Tribunal Supremo donde se reproduce la misma doctrina en un supuesto idéntico en el sentido en que, tras la reforma de la Ley Orgánica 15/2003, es procedente el abono de la prisión preventiva por hechos cometidos en el espacio temporal intermedio entre la prisión preventiva sufrida y la Sentencia absolutoria dictada en la causa correspondiente a dicha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cabe indicar que ninguna mención errónea se recogía en el Auto impugnado que determinara al recurrente a acudir directamente al amparo constitucional, puesto que en dicha resolución se expresaba que “no cabe recurso ordinario alguno” contra la resolución, siendo así que el recurso para unificación de doctrina es un recurso extraordinario.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expuestos conducen a inadmitir el recurso de amparo por aplicación de lo dispuesto en el art. 44.1 a) LOTC.</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interpuesto por don Prince Basil Akpaka.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