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Sección Tercera de la Audiencia Provincial de Barcelona de 4 de febrero de 2010, dictada en el procedimiento abreviado núm. 21-2009, exclusivamente en lo relativo a las penas privativa de libertad de prisión de tres años y seis meses y accesoria de inhabilitación especial para el ejercicio del derecho de sufragio pasivo durante el tiempo de la condena impuesta a don Adam Ujidos López.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febrero de 2012, la Procuradora de los Tribunales doña Rosalía Rosique Samper, en nombre y representación de don Adam Ujidos López, y bajo la dirección de la Letrada doña Marta Clapés Cascón, interpuso recurso de amparo contra el Auto de la Sala Segunda del Tribunal Supremo de 25 de enero de 2012, por el que se inadmite el incidente de nulidad de actuaciones interpuesto contra la Sentencia de 17 de noviembre de 2011, por la que se desestima el recurso de casación núm. 2078-2010, interpuesto contra la Sentencia de la Sección Tercera de la Audiencia Provincial de Barcelona de 4 de febrero de 2010, dictada en procedimiento abreviado núm. 21-2009, por la que se condena, entre otros, al recurrente como autor de un delito contra la salud pública a las penas principales de prisión de tres años y seis meses y dos multa con responsabilidad personal subsidiaria en caso de impago; y a la pena accesoria de inhabilitación especial para el ejercicio del derecho de sufragio pasivo durante el tiempo de la condena, además del pago proporcional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Sentencia impugnada en cuanto a la pena privativa de libertad y la accesoria de inhabilitación, al entender que su ejecución puede producir un perjuicio que haga perder al amparo su finalidad y que dicha suspensión no ocasiona una perturbación a un interés constitucionalmente protegido ni a los derechos o libertades de otras personas, destacando que no hay ninguna víctima individual del delito y que no hay riesgo de fuga al haber estado el recurrente en todo momento a disposición de los órganos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18 de octubre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31 de octubre de 2012, presentó alegaciones en las que, enunciando la jurisprudencia de este Tribunal sobre el particular, interesó la suspensión de la pena privativa de libertad y de su accesoria de inhabilitación especial, argumentando que si se compara la duración de la pena privativa de libertad impuesta, que es de prisión de tres años y seis meses, con el tiempo que normalmente se consume en la tramitación de un recurso de amparo, la denegación de la suspensión causaría a la recurrente un perjuicio irreparable, debiendo extenderse a la pena de inhabilitación por su carácter accesorio.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De ello se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un interés constitucionalmente protegido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ATC 30/2011, de 28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y por lo que se refiere a las penas de privación de libertad, se ha reiterado que procederá, en principio, acordar su suspensión al afectar a un bien de imposible o muy difícil restitución a su estado anterior, si bien se ha destacado que este criterio general tampoco es absoluto, ya que en estos supuestos deben también ponderarse otras circunstancias relevantes, significativamente la duración y gravedad de la pena impuesta porque en ella se expresa la reprobación que el ordenamiento asigna al hecho delictivo y, por consiguiente, la magnitud del interés general en su ejecución. Del mismo modo, este Tribunal también ha reiterado que la suspensión de la pena privativa de libertad debe conllevar la suspensión de las penas accesorias de inhabilitación que lleve aparejada (por todos, ATC 58/2012,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recurrente solicita la suspensión de la Sentencia impugnada exclusivamente en relación con la pena de prisión de tres años y seis meses, y su accesoria de inhabilitación especial para el ejercicio del derecho de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conforme también interesa el Ministerio Fiscal, debe acordarse la suspensión de la pena privativa de libertad y su accesoria de inhabilitación especial impuestas al recurrente, ya que, atendidas todas las circunstancias concurrentes en el caso, de un lado, su ejecución puede ocasionar al recurrente perjuicios irreparables que harían perder al amparo su finalidad, tanto por afectar al valor fundamental de la libertad como porque si se compara la duración de tales penas —tres años y seis meses— con el tiempo que requiere la tramitación de un proceso de amparo como el presente, ha de concluirse que la no suspensión de su ejecución ocasionaría un perjuicio irreparable que privaría, al menos en parte, de eficacia a un eventual fallo estimatorio. Y, de otro, porque el acceder a la suspensión pretendida no ocasiona una lesión específica y grave de un interés constitucionalmente protegido —más allá de aquél que de por sí produce la no ejecución de un fallo judicial—, ni de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Sección Tercera de la Audiencia Provincial de Barcelona de 4 de febrero de 2010, dictada en el procedimiento abreviado núm. 21-2009, exclusivamente en lo relativo a las penas privativa de libertad de prisión de tres años y seis meses y accesoria de inhabilitación especial para el ejercicio del derecho de sufragio pasivo durante el tiempo de la condena impuesta a don Adam Ujidos López.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