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4174-2006, promovido por ochenta y un Diputados del Grupo Parlamentario Popular del Congreso de los Diputados, contra el Real Decreto-ley 4/2006, de 24 de febrero, por el que se modifican las funciones de la Comisión Nacional de Energía. Ha intervenido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11 de abril de 2006, tuvo entrada en el Registro General de este Tribunal escrito de don Ignacio Astarloa Huarte-Mendicoa, Diputado del Congreso y comisionado por ochenta Diputados del Grupo Parlamentario Popular, que interponía recurso de inconstitucionalidad contra el Real Decreto-ley 4/2006, de 24 de febrero, por el que se modifican las funciones de la Comisión Nacional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una vez indicada la concurrencia de los requisitos formales relativos al planteamiento en plazo del recurso y a la legitimación de los recurrentes y después de exponer la regulación existente a la entrada en vigor del Real Decreto-ley 4/2006, se formulan los siguientes reproches de inconstitucionalidad a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impugna el Real Decreto-ley 4/2006 por vulnerar el art. 86.1 CE, al no existir una situación de extraordinaria y urgente necesidad que legitime al Gobierno para dictar aquél. Los recurrentes consideran que las razones que se exponen en la exposición de motivos no acreditan en los términos de la jurisprudencia constitucional la concurrencia de la situación de extraordinaria y urgente necesidad: para fundamentar la urgencia en dictar una norma que introduce reformas no es razón suficiente aducir que es urgente que sus destinatarios conozcan tales reformas. Tampoco es justificación suficiente la que aparece formulada en la memoria justificativa del Real Decreto-ley, “la conocida existencia de operaciones en curso y previsibles de profundo calado, con efectos que pueden resultar de difícil e imposible corrección”, pues tales operaciones no eran imprevisibles y se han planteado en distintas ocasiones en los últimos años. Y aunque hubiera situación de urgencia, no se aprecia la conexión o relación de adecuación entre tal situación y las medidas adoptadas por el Real Decreto-ley. Si una mejor garantía de la seguridad pública exige añadir nuevas causas por las que la Comisión Nacional de Energía puede condicionar o denegar una operación y tal cambio normativo es urgente debido a la existencia de operaciones en curso, no se entiende por qué el nuevo régimen, a tenor de la disposición transitoria única del Decreto-ley, no es de aplicación sin distinción alguna a todas las operaciones pendientes de ejecución y no solo a las no autorizadas. Finalmente, se señala que “el motivo real que ha determinado tal adopción es, con toda probabilidad, la voluntad del Gobierno de poner trabas a la OPA por el 100% del capital de ENDESA, S.A. presentada por la entidad alemana E.ON Zwölfte Verwaltungs GmbH, filial al 100 por ciento de la sociedad alemana E.ON, AG, (en adelante, ‘E.ON’) oferta competidora de la que con anterioridad había presentado por el mismo porcentaje de ENDESA, S.A. la sociedad española Gas Natural SDG, S.A. Ese motivo se hace explícito en la Memoria Justificativa del Real Decreto-Ley”, en los términos antes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impugna el párrafo segundo del apartado 1 de la disposición adicional undécima, 3.1.14 de la Ley 34/1998, de 7 de octubre, del sector de hidrocarburos, en la redacción dada por el artículo único del Real Decreto-ley 4/2006, por vulneración del derecho fundamental a la libertad de empresa (art. 38 CE). Dicho párrafo, que somete a autorización administrativa previa determinadas operaciones de adquisición que anteriormente estaban exentas, introduce una restricción al derecho fundamental, violando, por lo demás, lo dispuesto en los arts. 43 y 56 del Tratado constitutivo de la Comunidad Europea (TCE). Con arreglo a la jurisprudencia constitucional, la validez de las medidas restrictivas de la libertad de empresa está condicionada a que sean proporcionadas para la satisfacción de un fin constitucionalmente legítimo y que no exista una alternativa que sea menos restrictiva. Los recurrentes razonan que en el ordenamiento español existen otras medidas idóneas para satisfacer el señalado fin de seguridad pública que son menos restrictivas para la libertad de empresa. Con anterioridad al Real Decreto-ley 4/2006, tanto la Ley del sector eléctrico como la Ley del sector de hidrocarburos contenían previsiones tendentes a garantizar la existencia de abastecimiento mínimo de energía eléctrica y de productos petrolíferos, que eran menos restrictivas del derecho fundamental que la autorización ex ante impuesta por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impugna la disposición transitoria única del Real Decreto-ley por vulneración del principio de irretroactividad de las disposiciones restrictivas de los derechos individuales (art. 9.3 CE). La nueva exigencia de autorización administrativa para operaciones que hasta entonces no estaban sujetas a la misma constituye una disposición restrictiva del derecho fundamental a la libertad de empresa, sometida al principio de irretroactividad de las disposiciones restrictivas de los derechos individuales (art. 9.3 CE). La disposición transitoria única somete las operaciones planteadas y pendientes de ejecución en el momento de entrada en vigor del Real Decreto-ley a la necesidad de obtener la autorización de la Comisión Nacional de Energía. Tal régimen confiere alcance retroactivo a la extensión del ámbito objeto de aplicación de la función decimocuarta operado por el Real Decreto-ley, pues se aplica a operaciones ya iniciadas, que se pusieron en marcha durante la vigencia de un régimen jurídico que no contemplaba tal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impugna la disposición transitoria única del Real Decreto-ley por vulneración del principio de igualdad ante la ley (art. 14 CE). A juicio de los recurrentes, se dispensa un trato jurídico distinto a las entidades que pretendan realizar las operaciones en cuestión en función de que con anterioridad a la entrada en vigor del Real Decreto-ley hubieran obtenido o no la autorización de la Comisión Nacional de Energía al amparo del régimen anterior. Invocando diversa jurisprudencia constitucional, se alega que tal discriminación únicamente se ajustaría a la Constitución en la medida en que el criterio de diferenciación entre una y otra y las consecuencias jurídicas derivadas de la diferenciación fueran relevantes desde la perspectiva del fin perseguido por la norma en cuestión. Dicha circunstancia no se acreditaría en el presente caso, pues desde la perspectiva del fin del Real Decreto-ley 4/2006 —proteger los intereses generales de la política energética española y, en particular, la seguridad pública— es irrelevante que una operación hubiera obtenido una autorización anterior cuando ésta no tuvo en cuenta tales intereses. Tanto el criterio diferenciador como las consecuencias derivadas de su aplicación son incoherentes con el fin normativo, no guardan relación alguna y no son necesarios para satisfacer la finalidad de la norma. Frente a la conclusión anterior no cabe oponer la doctrina constitucional sobre la discriminación derivada de la sucesión normativa, pues se trata de operaciones que desde el punto temporal son idénticas, al hallarse planteadas en la fecha de entrada en vigor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y último lugar, se impugna la disposición transitoria única del Real Decreto-ley por vulneración del principio de seguridad jurídica (art. 9.3 CE). La conclusión de la vulneración del citado principio constitucional se fundamenta: a) en la inexistencia de intereses generales que justifiquen la aplicación retroactiva del Real Decreto-ley, pues el interés general de la seguridad jurídica, entendido como garantía del abastecimiento de productos petrolíferos y de electricidad, se encuentra ya suficientemente protegido por técnicas preexistentes en el ordenamiento español y menos restrictivas de los derechos afectados; b) en la imprevisibilidad de la reforma normativa establecida, pues va en contra de los pronunciamientos de la Comisión respecto a normas españolas similares y de la postura manifestada por el mismo Gobierno español autor del Real Decreto-ley en procedimientos legislativos tendentes a la eliminación de obstáculos a la libre circulación de capitales; c) en la trascendencia de las decisiones económicas adoptadas por los agentes económicos afectados, pues el simple planteamiento formal de una operación, aunque no se haya ejecutado todavía, entraña la realización de gastos de elevadísima cuantía y la manifestación pública de las orientaciones estratégicas de la compañía que plantea la 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mayo de 2006 la Sección Tercera de este Tribunal acordó admitir a trámite el recurso de inconstitucionalidad y dar traslado del mismo y de los documentos presentados, conforme establece el art. 34 de la Ley Orgánica del Tribunal Constitucional (LOTC), al Congreso de los Diputados y al Senado, por conducto de sus Presidentes, y al Gobierno, por conducto del Ministro de Justicia, al objeto de que, en el plazo de quince días, pudieran personarse en el procedimiento y formular alegaciones. Asimismo se acordó publicar la incoación del procedimiento en el “Boletín Oficial del Estado”, lo que se verificó el 26 de mayo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mayo de 2006 la Sección Tercera de este Tribunal acordó tener por personado al Abogado del Estado y, según interesaba, prorrogarle en ocho días el plazo concedido en el proveído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el Tribunal el 15 de junio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analizar los argumentos de la demanda, efectúa algunas precisiones previas. Por un lado, subraya que la nueva redacción de la disposición adicional undécima, 3.1.14 de la Ley 34/1998, de 7 de octubre, del sector de hidrocarburos (en adelante, función decimocuarta), introducida por el Real Decreto-ley, extiende el requisito de autorización, que ya se exigía cuando la sociedad adquirente realizara actividades reguladas, al caso en que sea la adquirida quien desarrolle tales actividades; define con mucha mayor precisión los casos en que la Comisión Nacional de Energía puede denegar o condicionar la autorización, especificando el objeto de la supervisión, aunque todos los nuevos motivos de denegación o condicionamiento eran perfectamente subsumibles en la amplia fórmula que existía previamente. Por otro lado, considera que la demanda presupone “el motivo real” determinante de la adopción del Real Decreto-ley sin añadir los necesarios razonamientos justificativos y elementos acreditativos de esa intencionalidad. La única finalidad que resulta del Real Decreto-ley, de su exposición de motivos y de la memoria justificativa es, según la representación procesal del Gobierno, la de que todas las operaciones de concentración en un sector tan relevante como el energético queden sometidas a la supervisión del organismo regulador y todo lo demás son suposiciones sin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Siguiendo el orden de las alegaciones de la demanda, en respuesta a la primera impugnación, comienza recordando la doctrina constitucional sobre la concurrencia de la extraordinaria y urgente necesidad habilitante del real decreto-ley: explicitación y razonamiento de la concurrencia de la situación de extraordinaria y urgente necesidad que se pretende afrontar con el instrumento normativo; valoración no abusiva o no arbitraria de la concurrencia del presupuesto; y relación directa o de congruencia entre la situación que constituye el presupuesto habilitante y las medidas que se adoptan en el Decreto-ley. Los tres requisitos se cumplen en el presente caso. Por lo que respecta al primer requisito, señala que la urgencia se refiere a la necesidad de poner fin a las insuficiencias advertidas en la regulación de la Ley 34/1988, de 7 de octubre, del sector de hidrocarburos, como se desprende de la exposición de motivos. Además, quizá la justificación más clara se encuentra en la memoria justificativa: “se requiere que las medidas propuestas sean adoptadas con carácter de extrema y urgente necesidad, habida cuenta de la conocida existencia de operaciones en curso y previsibles de profundo calado, con efectos que pueden resultar de difícil o imposible corrección”.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requisito también se cumple por cuanto la calificación de la urgencia realizada por los órganos políticos no es manifiestamente arbitraria o abusiva. Los argumentos aducidos en contrario en la demanda son rechazados, porque, por un lado, las posturas de la Comisión o del Gobierno español sobre determinada cuestión nada aportan al análisis de la urgencia del Real Decreto-ley y, por otro, porque el Tribunal Constitucional no exige que las circunstancias que motivan el Real Decreto-ley sean totalmente imprevisibles, sino que basta con que “por razones difíciles de prever se requiera una acción normativa inmediata” (STC 329/2005, de 15 de diciembre), y las operaciones de concentración son sin duda difíciles de prever, pues se mantienen ocultas hasta el mismo momento en que se solicitan las correspondientes autorizaciones. Parece evidente que la realización de una importante operación de concentración empresarial en un sector tan vital como el energético, operación que eventualmente podría afectar a la regularidad del suministro, es una circunstancia económica difícil de prever y que exige una respuesta inmediata, máxime teniendo en cuenta que con la legislación vigente antes del Real Decreto-ley tal operación no estaba sometida a ningún tipo de supervisión por los organismos reguladores del mercado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único argumento de la demanda para rechazar el cumplimiento del tercer requisito, la relación directa o de congruencia entre la situación que constituye el presupuesto habilitante y las medidas que se adoptan en el Decreto-ley, es que la disposición transitoria única declara inaplicable la reforma a las operaciones ya autorizadas por la Comisión Nacional de Energía. La demanda discute la urgencia más que la congruencia de las medidas adoptadas con aquella urgencia, y su razonamiento es contradictorio con la alegación de vulneración del principio de irretroactividad de las disposiciones restrictivas de derechos individuales, pues si hubiera declarado aplicable la reforma a las operaciones ya supervisadas y autorizadas, entonces habría más razón para entender vulnerado dicho principio. Es el respeto a situaciones con un mayor grado de consolidación lo que determinó que los órganos políticos no sometieran a nueva autorización las operaciones ya supervisadas y no la valoración sobre la urgencia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vulneración alegada del art. 38 CE relativo a la libertad de empresa, el Abogado del Estado señala que, como toda libertad, la de empresa se encuentra sometida a limitaciones, si bien estas han de ser proporcionadas y razonables. El propio art. 38 CE somete el derecho a dos límites: “las exigencias de la economía general y, en su caso, de la planificación”. Por otro lado, la libertad de empresa también estaría sujeta a las limitaciones derivadas de la función social de la propiedad (arts. 33 y 128 CE) o de la necesaria protección de consumidores y usuarios (art. 51 CE). El Real Decreto-ley viene a ampliar subjetivamente una autorización que ya se exigía antes y a especificar con mayor rigor el contenido de la supervisión, sin que la previsión hubiera suscitado ninguna duda de constitucionalidad antes de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necesaria interpretación del art. 38 CE conforme a los arts. 43 y 56 TCE, se afirma que el propio Derecho comunitario permite que las legislaciones nacionales establezcan limitaciones a tales libertades; que el Tribunal de Justicia ha declarado que una libertad fundamental comunitaria puede ser limitada mediante una normativa nacional, si se halla justificada por algunas de las causas previstas en el Tratado o por razones de imperioso interés general; y que la seguridad pública es causa legítima para establecer limitaciones a las libertades de establecimiento y circulación de capitales: la seguridad pública incluye las medidas necesarias para garantizar el suministro de productos o servicios esenciales, entre los que ocupan un lugar cualificado los energéticos. También se señala que la Comisión, en la petición de información dirigida al Reino de España en relación con el Decreto-ley, no cuestiona la posibilidad de adoptar medidas limitativas, sino simplemente la claridad de los motivos que permiten condicionar o denegar la autorización y el momento de la intervención administrativa, considerando que la supervisión ex post es más proporcional y menos restrictiva, reproches que, en su contestación, España considera infundados.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tocante a la proporcionalidad de la restricción, señala que el fin de las medidas recogidas en el Real Decreto-ley es el fin último de toda la legislación energética, garantizar un suministro suficiente y de calidad, y que si siempre se ha considerado proporcionada la previa supervisión por el órgano regulador de la adquisición de participaciones cuando el adquirente es una sociedad regulada, la misma consideración debe merecer la extensión del régimen a la adquisición de participaciones en sociedades reguladas. La supervisión de las operaciones de concentración en que el adquirido realice actividad regulada no sólo es proporcionada, sino imprescindible para garantizar que aquella no pueda afectar negativamente al suministro energético. El argumento definitivo a favor de su proporcionalidad es la forma en que se articula la limitación de acuerdo con lo previsto en el art. 18 del Real Decreto 1339/1999, de 31 de julio, regulador del procedimiento de autorización: tanto la brevedad del plazo máximo disponible por la Comisión Nacional de Energía para resolver expresamente (un mes), como el valor del silencio (positivo), acreditan que el mecanismo supervisor procura la menor incidencia posible en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alegación de la vulneración del principio de irretroactividad de las disposiciones restrictivas de los derechos individuales (art. 9.3 CE), el Abogado del Estado considera que está carente del necesario razonamiento justificativo. De acuerdo con la doctrina constitucional, sólo la retroactividad de grado máximo se encuentra afectada por la previsión del art. 9.3 CE, no en cambio la de grado medio, que habría que examinarse, en su caso, desde la perspectiva de su incidencia sobre la seguridad jurídica. Una operación de concentración en curso no es una situación cuyos efectos se hayan consumado: es una situación expectante que todavía no ha comenzado a producir efecto alguno. Además, el art. 9.3 CE sólo prohíbe la retroactividad de las disposiciones “restrictivas de derechos individuales”, y de una operación en curso no ha nacido ningún derecho individual que pueda resultar restringido por la nueva normativa. Si la Constitución no prohíbe una incidencia pro futuro en derechos adquiridos (STC 97/1990, de 24 de mayo, FJ 4), menos lo hará respecto de situaciones expectantes, futuras o pendientes de consolidación (STC 97/1990,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respecta a la alegación de vulneración del principio de igualdad, el Abogado del Estado afirma que se trata de un simple supuesto de sucesión normativa. Las situaciones que, de acuerdo con el Derecho transitorio, queden sometidas a la legislación derogada, naturalmente recibirán un tratamiento legal distinto al de las situaciones que se sujeten a la normativa que entra en vigor. El Tribunal Constitucional tiene declarado que en los casos de sucesión normativa estamos simplemente ante la aplicación de la ley en el tiempo, en la que el desigual tratamiento de los supuestos sometidos a uno u otro régimen es natural consecuencia de la libertad del legislador de configurar la realidad y de la “necesaria evolución del ordenamiento jurídico” (ATC 367/2003, de 13 de noviembre, FJ 5). En supuestos de sucesión normativa, lo relevante no es la desigualdad consustancial a todo proceso de reforma, sino que las normas transitorias definan el momento de aplicación de la nueva regulación sin incurrir en la arbitrariedad proscrita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demanda es incongruente al alegar una irretroactividad contraria al art. 9.3 CE y al tiempo exigir en otro punto argumental una mayor retroactividad de la misma norma. En cualquier caso, no existe discriminación constitucionalmente reprochable. No es válido el tertium comparationis que sugiere la demanda para justificar la discriminación. Las operaciones en curso que hayan obtenido una autorización de la Comisión Nacional de Energía no están en la misma situación que las que no hayan sido sometidas a supervisión por el organismo regulador y, por tanto, no hayan obtenido la oportuna autorización. Las operaciones autorizadas han sido sometidas a la supervisión del organismo regulador, garantizando la inexistencia de “riesgos significativos o efectos negativos, directos o indirectos, sobre las actividades reguladas”. Además, el otorgamiento, condicionado o no, de la autorización genera ciertas expectativas favorables al buen fin de la operación, con las importantes repercusiones económicas que tales expectativas provocan. Como en cualquier norma de derecho transitorio, el legislador ha de buscar el difícil equilibrio de intentar la más inmediata aplicación de la nueva normativa —que se introduce porque se considera beneficiosa y, por tanto, es lógico que se pretenda su pronta aplicación— y, al tiempo, no alcanzar irrazonablemente a situaciones que han adquirido un cierto grado de consolidación. El Real Decreto-ley, con el mejor criterio a juicio del Abogado del Estado, ha considerado que no era razonable ni proporcionado someter a nueva autorización operaciones ya supervisadas.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lo alegado por los recurrentes, la circunstancia de que una operación haya sido autorizada y sometida a la supervisión de la Comisión Nacional de Energía sí guarda relación con el sentido de la norma y no es arbitraria en el sentido de la STC 190/2005, de 7 de julio, FJ 4. Si una de las finalidades de la norma es garantizar la previa supervisión de todas las operaciones de concentración relativas a una entidad regulada, el hecho de que la operación se hubiera sometido ya a la previa autorización de la Comisión Nacional de Energía tiene una evidente conexión con la finalidad del Real Decreto-ley. La disposición transitoria única parte, por tanto, de un dato cierto y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en relación con la vulneración de la seguridad jurídica, el Abogado del Estado señala que el Tribunal Constitucional tiene declarado que, a diferencia de la retroactividad “auténtica o de grado máximo”, la retroactividad “impropia o de grado medio”, definida como la incidencia en “situaciones jurídicas actuales aún no concluidas”, no estaría sujeta a la prohibición del art. 9.3 CE, aunque podría tener relevancia constitucional desde la perspectiva de la protección de la seguridad jurídica (STC 182/1997, de 28 de octubre, FJ 11). Cuando la norma de retroactividad media fuera “absolutamente imprevisible”, “solo podría reputarse conforme con la Constitución si existieran claras exigencia de interés general que justificaran que el principio de seguridad jurídica que, insistimos, no es un valor absoluto, debería ceder ante otros bienes o valores constitucionalmente protegidos” [STC 182/1997, de 28 de octubre, FJ 13 a)]. Pues bien, el Abogado del Estado señala que, hasta cierto punto, parece razonable prever que, ante una operación de concentración, en un sector tan directamente relacionado con intereses vitales, el interés general impondría una reserva legal que sometiera la operación a la supervisión del organismo regulador. Y, en cualquier caso, aun aceptando la dificultad de previsión de la reforma, no cabe duda de que respecto de las operaciones en curso no sometidas a la supervisión del organismo regulador, existía un evidente interés público en que se verificara que la operación no ponía en peligro la seguridad pública, entendida como regularidad y calidad del suministro energético. En el difícil equilibro entre la seguridad jurídica y el interés público tutelado por el Real Decreto-ley, el legislador, con buen criterio, entendió que prevalecía el segundo respecto de las operaciones no supervisadas ni autorizadas, pues era precisa la intervención del organismo regulador que garantizara que no iban a afectar al suministro, mientras que, en cambio, en las operaciones ya autorizadas existía una suficiente garantía del interés público que hacía innecesario el sacrificio de la seguridad jurídica. Contra lo que argumenta la demanda, la posibilidad de analizar las operaciones autorizadas bajo el prisma, técnicamente más acabado, del nuevo listado de motivos de denegación o condicionamiento, es muy dudoso que pueda justificar el menoscabo de la seguridad jurídica, pues los nuevos motivos son únicamente especificación del genérico motivo que recogía la redacción originaria con el fin de fortalecer la seguridad jurídica, por lo que resultaría profundamente incongruente justificar el sacrificio de la seguridad jurídica con una aplicación retroactiva de una nueva regulación que viene precisamente a reforzarla.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12 de febrero de 2013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se interpone por ochenta y un Diputados del Grupo Parlamentario Popular en el Congreso de los Diputados, contra el Real Decreto-ley 4/2006, de 24 de febrero, por el que se modifican las funciones de la Comisión Nacional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que fundamentan el recurso pueden agruparse en tres grupos: la vulneración del art. 86.1 CE por el Real Decreto-ley, la vulneración del derecho fundamental a la libertad de empresa (art. 38 CE) por el artículo único del Real Decreto-ley 4/2006 que da nueva redacción al párrafo segundo del apartado 1 de la disposición adicional undécima 3.1.14 de la Ley 34/1998, de 7 de octubre, del sector de hidrocarburos, y la vulneración de los principios de irretroactividad de las disposiciones restrictivas de los derechos individuales (art. 9.3 CE), de igualdad ante la ley (art. 14 CE) y de seguridad jurídica (art. 9.3 CE) por la disposición transitoria única del Real Decreto-ley 4/2006.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propone la desestimación total del recurso, al entender que los preceptos impugnados son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del recurso que nos ocupa exige hacer una precisión previa sobre el impacto que en su objeto pueda haber tenido la aprobación de la Ley 2/2011, de 4 de marzo, de economía sostenible. El apartado cinco de la disposición final trigésima tercera de la Ley 2/2011 ha dado una nueva redacción a la función decimocuarta del punto 1 de apartado tercero de la disposición adicional undécima de la Ley 34/1998, de 7 de octubre, del sector de hidrocarburos. En consecuencia, la concreta redacción que el artículo único del Real Decreto-ley 4/2006 dio a la función decimocuarta del punto 1 del apartado tercero de la disposición adicional undécima de la Ley 34/1998, de 7 de octubre, del sector de hidrocarburos ha quedado derogada y, con ello, también el artículo único del Real Decreto-ley 4/2006.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ha recordado la STC 1/2012, de 13 de enero, citando a su vez las SSTC 134/2004, de 22 de julio, y 68/2007, de 28 de marzo, es reiterada la doctrina constitucional que establece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(por ejemplo, SSTC 233/1999, de 12 de diciembre, FJ 3; 148/2000, de 1 de junio, FJ 3; 190/2000, de 13 de julio, FJ 2; y 16/2003, de 30 de enero, FJ 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proyección de este planteamiento de principio sobre el recurso de inconstitucionalidad, tal y como ha recordado la STC 124/2003, de 19 de junio, FJ 3, por tratarse de un “recurso abstracto y orientado a la depuración objetiva del ordenamiento”, determina que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De modo que, si bien carece de sentido, en el seno de un recurso de inconstitucionalidad, “pronunciarse sobre normas que el mismo legislador ha expulsado ya de dicho ordenamiento ... de modo total, sin ultraactividad” (SSTC 160/1987, de 27 de octubre, FJ 6; 150/1990, de 4 de octubre, FJ 8; y 385/1993, de 23 de diciembre, FJ 2), puede resultar útil y conveniente su enjuiciamiento, aun cuando hayan sido derogadas, para excluir “toda aplicación posterior de la disposición legal controvertida, privándola así del vestigio de vigencia que pudiera conservar” (SSTC 160/1987, de 27 de octubre, FJ 6; y 385/1993, de 23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lo que al recurso de inconstitucionalidad se refiere, la derogación formal o la sustitución del contenido de una disposición jurídica por otro tiene, como regla general, efecto extintivo del objeto. Esto es lo que ocurre en el presente proceso con el artículo único del Real Decreto-ley 4/2006. La regla general de la pérdida de objeto se ha de extender igualmente a la disposición transitoria única del Real Decreto-ley 4/2006: aunque no ha sido formalmente derogada, su única finalidad era establecer el momento inicial de la aplicación de una regulación que no existe en el momento de dictar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nuestra doctrina, la regla general de la pérdida de objeto consiente, sin embargo, por su propio fundamento, ciertas excepciones y, entre ellas, una que ahora interesa en consideración a la primera de las alegaciones en que se fundamenta el presente recurso de inconstitucionalidad. En efecto, en el recurso se cuestiona la legitimidad constitucional de la adopción de una norma de urgencia como el Real Decreto-ley 4/2006, por cuanto se habría incumplido el presupuesto de la “extraordinaria y urgente necesidad” justificativa de la aprobación de un decreto-ley. Constituye reiterada doctrina constitucional, recordada por la citada STC 1/2012, de 13 de enero, FJ 4 (con cita de las STC 155/2005, de 9 de junio, FJ 2; y 68/2007, de 28 de marzo, FJ 4) que “es algo fuera de duda” que “el control del Decreto-ley en cuanto tal no está impedido por el hecho de la novación operada por la Ley, siguiendo lo que dispone el art. 86.3”, pues el interés constitucional “de ajustar el uso del instrumento del Decreto-ley al marco del art. 86.1 ... no puede considerarse satisfecho por la derivación del Decreto-ley hacia el cauce del art. 86.3”, ya que si bien “pudiera ... pensarse que una eficacia retroactiva de la Ley que diera cobijo a los efectos producidos por el Decreto-ley puede privar de sentido a la impugnación dirigida ... al Decreto-ley, ... esto no es así, pues ... velar por el recto ejercicio de la potestad de emitir Decretos-leyes, dentro del marco constitucional, es algo que no puede eludirse por la utilización del procedimiento del art. 86.3 (STC 111/1983, de 2 de diciembre, FJ 3; en el mismo sentido, más recientemente, STC 182/1997, de 28 de octubre, FJ 1)”. En este mismo sentido hemos declarado también que “la Constitución únicamente admite la legislación de urgencia bajo condiciones cuya inobservancia constituye una infracción que sólo puede repararse con una declaración de inconstitucionalidad, sin que los efectos derogatorios de la legislación sobrevenida o los convalidantes de la asunción del Decreto-ley por el Congreso de los Diputados puedan corregir un defecto que ha de concebirse como necesariamente insubsanable, pues, en otro caso, los límites del art. 86 CE sólo serían operativos en el tiempo que media entre el Decreto-ley y su convalidación o su conversión en ley, esto es, en un tiempo en el que este Tribunal nunca podrá materialmente pronunciarse” (STC 155/2005, de 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que, en todo caso, pervive el objeto del presente recurso por lo que hace a la alegación de vulneración del art. 86.1 CE por el Real Decreto-ley 4/2006.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y como quedó reflejado en los antecedentes de esta resolución, los recurrentes sostienen que los preceptos adoptados, al ser aprobados bajo la forma de decreto-ley, vulneraron lo dispuesto en el art. 86.1 CE, por no concurrir la “extraordinaria y urgente necesidad” habilitante del uso de dicha facultad, dado que no puede justificarse su aprobación por ninguna de las razones apuntadas en su exposición de motivos o en la memoria justificativa, ni tampoco se aprecia la conexión o relación de adecuación entre tal situación y las medidas adoptadas por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sustancialmente, que la extraordinaria y urgente necesidad justificativa de la aprobación del Decreto-ley derivaría de la necesidad de poner fin a las insuficiencias advertidas en la regulación de la Ley 34/1988, de 7 de octubre, del sector de hidrocarburos, como se desprende de la exposición de motivos y tal como se expresa en la memoria justificativa, y que la calificación de la urgencia realizada por los órganos políticos no es manifiestamente arbitraria o abusiva. Considera que las operaciones de concentración son sin duda difíciles de prever, pues se mantienen ocultas hasta el mismo momento en que se solicitan las correspondientes autorizaciones, y que la realización de una importante operación de concentración empresarial en un sector tan vital como el energético, operación que eventualmente podría afectar a la regularidad del suministro, es una circunstancia económica difícil de prever y que exige una respuesta inmediata, máxime teniendo en cuenta que con la legislación vigente antes del Real Decreto-ley tal operación no estaba sometida a ningún tipo de supervisión por los organismos reguladores del mercado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acotado el problema constitucional, a la luz del art. 86.1 CE debemos acudir a la doctrina establecida por este Tribunal sobre el sentido y alcance del presupuesto legitimador de la extraordinaria y urgente necesidad. Dicha doctrina ha sido reiterada por la STC 68/2007, de 28 de marzo, y más recientemente por las SSTC 31/2011, de 17 de marzo, 137/2011, de 14 de septiembre, y 1/2012, de 13 de enero, con cita, entre otras, de las SSTC 182/1997, de 28 de octubre; 11/2002, de 17 de enero; 137/2003, de 3 de julio; 189/2005, de 7 de julio, FJ 3, y 329/2005, de 15 de diciembre, FJ 5. En estas Sentencias, tras reconocer el peso que en la apreciación de la extraordinaria y urgente necesidad ha de concederse “al juicio puramente político de los órganos a los que incumbe la dirección del Estado”, declaramos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 Ello quiere decir que la definición expresa de la extraordinaria y urgente necesidad no ha de contenerse siempre en el propio real decreto-ley, sino que tal presupuesto puede ser deducido igualmente de una pluralidad de elementos. Así pues, el examen de la concurrencia del citado presupuesto habilitante de la “extraordinaria y urgente necesidad” siempre se ha de llevar a cabo mediante la valoración conjunta de todos aquellos factores que determinaron al Gobierno a dictar la disposición legal excepcional,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 de 28 de octubre, FJ 3; 11/2002, de 17 de enero, FJ 4; y 137/2003, de 3 de julio, FJ 3). Este Tribunal ha señalado asimismo que “la valoración de la extraordinaria y urgente necesidad de una medida puede ser independiente de su imprevisibilidad e, incluso, de que tenga su origen en la previa inactividad del propio Gobierno siempre que concurra efectivamente la excepcionalidad de la situación” (STC 1/2012, de 13 de enero, FJ 6), pues “lo que aquí debe importar no es tanto la causa de las circunstancias que justifican la legislación de urgencia cuanto el hecho de que tales circunstancias efectivamente concurran” (SSTC 11/2002, de 17 de enero, FJ 6; y 68/2007, de 28 de marzo, FJ 8). También hemos de recordar que este Tribunal ha insistido en que el control jurídico de este requisito no debe suplantar a los órganos constitucionales que intervienen en la aprobación y convalidación de los reales decretos-leyes, sino que ha de apoyarse en una valoración de conjunto de las circunstancias que rodean al caso (STC 332/2005, de 15 de diciembre, FJ 5; y 31/2011,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cabe añadir, por último, que la perspectiva desde la que ha de examinarse la concurrencia del presupuesto habilitante del art. 86.1 CE es “la del momento en que se aprueba el correspondiente decreto-ley, de manera que el presupuesto de la validez de dicha norma no queda alterado por datos o circunstancias posteriores que pudieran cuestionar la apreciación de la urgencia o de la necesidad afirmadas en aquel momento” (STC 1/2012, de 13 de enero, FJ 6). Asimismo, el examen de la concurrencia del presupuesto habilitante del art. 86.1 CE en la adopción de un decreto-ley es del todo independiente del control de la conformidad material con la Constitución de las disposiciones incluidas en la norma de urgencia y, tanto más, en cuanto que se sitúa extramuros de nuestra jurisdicción, del control de su conformidad material con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arreglo a la doctrina que se acaba de recordar debemos comprobar ahora si en el Real Decreto-ley 4/2006 objeto del presente recurso de inconstitucionalidad concurre el presupuesto habilitante de la “extraordinaria y urgente necesidad” exigido por el art. 86.1 CE. Siguiendo la doctrina expuesta debemos por tanto analizar dos elementos: en primer lugar, la presentación explícita y razonada de los motivos que han sido tenidos en cuenta por el Gobierno en su aprobación (SSTC 29/1982, de 31 de mayo, FJ 3; 111/1983, de 2 de diciembre, FJ 5; 182/1997, de 20 de octubre, FJ 3; 137/2003, de 3 de julio, FJ 4; y 1/2012, de 13 de enero, FJ 7); en segundo lugar, la existencia de una necesaria conexión entre la situación de urgencia definida y la medida concreta adoptada para subvenir a ella (SSTC 29/1982, de 31 de mayo, FJ 3; 182/1997, de 20 de octubre, FJ 3; 137/2003, de 3 de julio, FJ 4; y 1/2012, de 13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primer lugar, a analizar los motivos explicitados por el Gobierno para la aprobación del Real Decreto-ley 4/2006, debemos acudir a la exposición de motivos de la norma, al debate parlamentario de convalidación y, en su caso, al expediente de elaboración de la norma (por todas, STC 1/2012,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motivos del Real Decreto-ley se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tendencias de concentración empresarial en los mercados energéticos mundiales y europeos han puesto de relieve determinadas insuficiencias en la legislación vigente. Insuficiencias que tienen al menos una doble faceta: por una parte, no se contemplan todos los intereses cuya protección por los poderes públicos parece conveniente; por otra, no somete a simétrica consideración las operaciones cualquiera que sea el agente promotor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conforme a la legislación vigente, no resulta posible examinar en todos los supuestos la adquisición del control de unas empresas por otras, en la medida que afecten a intereses generales de la política energética española y, en particular, a la seguridad pública. Además, mientras que en su actual redacción la función Decimocuarta de la Comisión Nacional de Energía, regulada en la Disposición Adicional Undécima.Tercero.1 de la Ley 34/1998, de 7 de octubre, del Sector de Hidrocarburos, condiciona a la autorización de la Comisión Nacional de Energía la toma de participación por sociedades con actividades reguladas en cualquier entidad que realice actividades de naturaleza mercantil, no establece la misma previsión cuando la sociedad objeto de la participación realiza actividades reguladas pero no la sociedad que pretende dicha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corrección de ambas insuficiencias, que requiere una disposición con rango de ley, adquiere carácter de extrema y urgente necesidad, por cuanto que es necesario establecer sin dilación las características de la nueva regulación, de manera que los agentes económicos dispongan de unas perspectivas claras del marco jurídico en el que ejercitar sus opciones empresariales o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literalidad de la exposición de motivos del Real Decreto-ley se desprende que la justificación de la aprobación del mismo en el marco del art. 86.1 se concreta en la necesidad de corregir dos concretas “insuficiencias” que el Gobierno aprecia en la legislación entonces vigente en relación con la regulación de la potestad de supervisión de las operaciones de concentración en el sector energético: por un lado, la insuficiente precisión legal de los intereses cuya protección por los poderes públicos parece conveniente en los supuestos de adquisición del control de unas empresas por otras; por otro, la falta de previsión legal de la autorización de la Comisión Nacional de Energía de la toma de participación en una sociedad que realice actividades reguladas por una sociedad que no las realice.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convalidación del Real Decreto-ley, en la defensa del texto ofrecida por el Ministro de Industria, Turismo y Comercio, en nombre del Gobierno, ante el Pleno del Congreso de los Diputados (Cortes Generales, “Diario de Sesiones del Congreso de los Diputados”, Pleno y Diputación Permanente, VIII Legislatura, Año 2006, núm. 163, sesión plenaria núm. 152 del 23 de marzo de 2006, págs. 8121 a 8123), se afirma, entre otras cosas,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española para las tomas de participación de empresas en el sector energético se ha venido manteniendo en el tiempo en unos mercados europeos y mundiales en los que las concentraciones empresariales tienen una tendencia creciente, concentraciones que han puesto de manifiesto las limitaciones de la actual legislación para la protección por los poderes públicos de los intereses cuya salvaguarda tiene encomendados. Por tanto, el Real Decreto-ley 4/2006 está originado por una clara insuficiencia de la legislación vigente que presenta al menos dos aspectos fundamentales. En primer lugar, con la actual legislación no resulta posible examinar en todas sus facetas los efectos derivados de la adquisición del control de unas empresas por otras en el sector energético; al menos no en todos los supuestos que afectan a los intereses generales de la política energética española y en particular a la seguridad pública. En segundo lugar, mientras que en su redacción actual la función decimocuarta de la Comisión Nacional de Energía condiciona a la autorización de la comisión la toma de participaciones por sociedades con actividades reguladas en cualquier entidad que realice actividades de naturaleza mercantil, no se establece la misma previsión cuando la sociedad objeto de la toma de participación realiza actividades reguladas pero no lo hace la sociedad que pretende dicha participación. Es decir, hasta este real decreto-ley el criterio que determinaba si una operación de toma de participación empresarial debe ser o no objeto de autorización por la Comisión Nacional de Energía se basaba en la naturaleza regulada de las actividades de la empresa que pretendía adquirir la participación y en el sector en el que esta opera, y no en las características de la sociedad objeto de la toma de participación. Esto ha puesto en evidencia una clara insuficiencia en la legislación, ya que una operación como por ejemplo una oferta pública de adquisición de acciones sobre una gran compañía energética solo debía ser analizada por la Comisión Nacional de Energía si era iniciada por otra compañía del sector energético español que realizase actividades reguladas, pero si tal operación de adquisición procediese de una empresa, por ejemplo, del sector textil o de otra con actividades en cualquier otro sector de otro país, no tendría que someterse a este procedimiento de autorización por la Comisión Nacional de Energía, cuyo objeto consiste en garantizar el adecuado funcionamiento del sistema energético regulado de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el Ministro de Industria, Turismo y Comercio añadió otras dos consideraciones: por un lado, que “la entrada en vigor del nuevo régimen legal debe ser inmediata, ya que es condición necesaria para que los agentes económicos dispongan de perspectivas claras sobre el marco en el que actuar y no soporten las distorsiones asociadas al plazo necesario para la aprobación en este caso de un proyecto de ley”; por otro, que “resultaba discriminatorio someter a autorización la adquisición de participaciones únicamente cuando era realizada por una empresa que, a su vez, realizase actividades reguladas. Por ello, se ha considerado coherente con el sistema vigente ampliar su ámbito subjetivo; al mismo tiempo, se ha considerado conveniente ampliar el ámbito de aplicación de la autorización a las empresas que se encuentran en determinadas relaciones de sujeción especial, por la particular naturaleza de ésta y por su trascendencia para el mantenimiento de los objetivos de política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completar el análisis de los motivos alegados por el Gobierno, procede traer a colación la memoria justificativa del proyecto de real decreto-ley por el que se modifican las funciones de la Comisión Nacional de Energía, en tanto que dicho dictamen constituye un trámite sustancial del procedimiento de elaboración de la norma impugnada. En dicha memoria justificativa se fundamentó la necesidad de la modificación legislativa mediante real decreto-ley en tres razones: “En primer lugar porque se pretende modificar una disposición con rango de ley. En segundo lugar, porque se requiere que las medidas propuestas sean adoptadas con carácter de extrema y urgente necesidad, habida cuenta de la conocida existencia de operaciones en curso y previsibles de profundo calado, con efectos que pueden resultar de difícil e imposible corrección. En tercer lugar, porque es necesario también establecer sin dilación las características de la nueva regulación, de manera que los agentes económicos dispongan de unas perspectivas claras del marco jurídico en el que ejercitar sus opciones empresariales o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expuestos los motivos aducidos por el Gobierno en el propio Real Decreto-ley, en su proceso de convalidación y en el procedimiento de elaboración de la norma, podemos entrar a analizar su pertinencia. En el presente recurso se suscitan dos objeciones desde la perspectiva del art. 86.1 CE. La primera plantea la necesidad y urgencia de la adopción del Real Decreto-ley impugnado. La segunda objeción rechaza la relación de adecuación entre la situación de extraordinaria y urgente necesidad alegada por el Gobierno y las medidas incluidas a tal efecto en el Real Decreto-ley, en cuanto que, para una mejor garantía de la seguridad pública, que es la finalidad principal aducida por el Gobierno, el nuevo régimen debería haber sido aplicable sin distinción alguna a todas las operaciones pendientes de ejecución y no solo a las no autorizadas.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respecta a la primera objeción, cabe recordar que, en diversos momentos, el Gobierno ha alegado expresamente tres circunstancias concretas para fundamentar el recurso al decreto-ley: la insuficiencia de la vigente regulación legal en materia de operaciones de concentración en el sector energético, la necesidad de proporcionar a los agentes económicos “unas perspectivas claras del marco jurídico en el que ejercitar sus opciones empresariales o financieras”, y “la conocida existencia de operaciones en curso y previsibles de profundo calado, con efectos que pueden resultar de difícil e imposible corrección”. Los recurrentes se han limitado a razonar explícitamente su rechazo a la pertinencia de dos de esas tres circunstancias. Pues bien, sólo parcialmente podemos compartir esos argumentos. Ciertamente la urgencia de una modificación legislativa no se puede fundamentar en la urgencia de que sus destinatarios conozcan tales reformas. En cambio, con arreglo a nuestra doctrina no podemos aceptar el argumento de que las operaciones de concentración en el sector energético no eran imprevisibles o se habían planteado en otras ocasiones en los años anteriores, pues “la valoración de la extraordinaria y urgente necesidad de una medida puede ser independiente de su imprevisibilidad e, incluso, de que tenga su origen en la previa inactividad del propio Gobierno” (STC 1/2012, de 13 de enero, FJ 6). En consecuencia, debemos considerar que la situación de extraordinaria y urgente necesidad que el Gobierno quería abordar mediante la aprobación del decreto-ley objeto del presente proceso constitucional está configurada por la concurrencia de una doble circunstancia: la apreciación, por un lado, de un déficit de regulación legal en materia de operaciones de concentración en el sector energético y la constatación, por otro, de la existencia de importantes operaciones de concentración en curso en dicho sector. En concreto el déficit o laguna normativa se concretaba según el Gobierno en la asimetría existente, desde la perspectiva de la necesidad de una autorización administrativa previa, entre dos tipos de operaciones de concentración en el sector energético. Mientras que la adquisición de participaciones realizada por sociedades que desarrollaran actividades que tuvieran la consideración de reguladas o actividades que estuvieran sujetas a una intervención administrativa que implicara una relación de sujeción especial estaban sujetas a autorización administrativa, no lo estaba en cambio la adquisición de participaciones en esas mismas sociedades por otros sujetos, esto es, por sociedades que no desarrollaran actividades reguladas o que no estuvieran sujetas a una intervención administrativa. A esa asimetría o disparidad de criterios legales se conecta la otra circunstancia alegada por el Gobierno de “la conocida existencia de operaciones en curso y previsibles de profundo calado, con efectos que pueden resultar de difícil e imposible corrección”, lo que implícitamente apela al carácter acuciante y urgente que, según el Gobierno, revestía la intervención legislativa en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Tribunal ha reconocido recientemente la relevancia, desde la perspectiva del art. 86.1 CE, de la ordenación de los procesos que se desarrollan en el sector energético (SSTC 170/2012, de 4 de octubre, FJ 6; y 233/2012, de 13 de diciembre, FJ 2). Así, en la STC 170/2012, FJ 6, consideramos, con relación a la concurrencia del presupuesto habilitante en la adopción de un real decreto-ley,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cual es el momento o la coyuntura económica más apropiada para adoptar sus decisiones en este caso dirigidas a introducir un mayor grado de liberalización de las actividades en el sector petrolero, circunstancia que puede hacer necesaria la aprobación de disposiciones legislativas provisionales y de eficacia inmediata como las contenidas en un decreto-ley excluyendo que se trate de un uso abusivo o arbitrario de dicha facultad”. Si bien este pronunciamiento se realizó con relación a unas disposiciones cuya finalidad era la liberalización de las actividades en el subsector del petróleo, el mismo criterio debe valer con respecto a la introducción de disposiciones de signo contrario, como sucede en el presente caso, en el cual las medidas incluidas en el Real Decreto-ley 4/2006 se dirigen a extender la autorización administrativa a ciertas operaciones de concentración que previamente no la necesitaban así como a precisar las causas legales de denegación o de condicionamiento de dichas autorizaciones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conforme a nuestra doctrina, recapitulada en el fundamento jurídico 5 de esta Sentencia, debemos declarar que la definición por los órganos políticos de la situación de extraordinaria y urgente necesidad resulta explícita y razonada, por lo que, no constituyendo un supuesto de uso abusivo o arbitrario de la potestad normativa excepcional conferida al Gobierno, debemos concluir que concurre el presupuesto habilitante de la extraordinaria y urgente necesidad requerido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otra objeción planteada por los recurrentes se refiere en realidad al segundo elemento a analizar por este Tribunal en la tarea de control del presupuesto habilitante del art. 86.1 CE, esto es, la conexión entre la situación de urgencia definida y las medidas concretas adoptadas para afrontarla, que figuran en la disposición impugnada. Los recurrentes descartan la conexión de sentido entre la situación de urgencia y las medidas concretas adoptadas para afrontarla, arguyendo que, para una mejor garantía de la seguridad pública, el nuevo régimen debería haber sido aplicable sin distinción alguna a la totalidad de las operaciones pendientes de ejecución y no solo a las no autorizadas. Este argumento no puede acogerse. La discrepancia con respecto a las concretas medidas adoptadas por el Gobierno para afrontar la situación de urgencia por él definida no es motivo suficiente para fundamentar la inconstitucionalidad de la utilización del decreto-ley; como tampoco puede serlo la consideración de que existirían medidas tanto o más adecuadas o efectivas para la consecución de los propios objetivos gubernamentales. Por esta razón, tampoco tenemos que analizar si, como alega el Abogado del Estado, las medidas que, como contraste, nos proponen los recurrentes podrían plantear problemas desde la perspectiva del principio de irretroactividad. Desde la perspectiva del art. 86.1 CE nuestro control se debe ceñir a verificar si las concretas medidas incluidas en el decreto-ley adoptado presentan la inexcusable conexión de sentido con la situación de urgencia definida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ha afirmado un doble criterio o perspectiva para valorar la existencia de la conexión de sentido: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señalado, la situación de extraordinaria y urgente necesidad que habilitaba al Gobierno para aprobar el decreto-ley estaba configurada por la concurrencia de una doble circunstancia: la apreciación de un déficit de regulación legal en materia de operaciones de concentración en el sector energético y la constatación de la existencia de importantes operaciones de concentración en curso en dicho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contenido de las medidas previstas por el Decreto-ley, cabe recordar que se trata de modificaciones que daban nueva redacción a la disposición adicional undécima, 3.1.14 de la Ley 34/1998, de 7 de octubre, del sector de hidrocarburos. Tales modificaciones consistían, por una parte, en la sujeción a autorización administrativa de la adquisición de participaciones en un porcentaje superior a un diez por ciento del capital social o cualquier otro que conceda influencia significativa en una sociedad que, por sí o por medio de otras que pertenezcan a su grupo de sociedades, desarrolle alguna de las actividades que tengan la consideración de reguladas o actividades que estén sujetas a una intervención administrativa que implique una relación de sujeción especial por cualquier sujeto, y no solo —como hasta entonces— de las adquisiciones realizadas por sociedades que desarrollaran actividades que tuvieran la consideración de reguladas o actividades que estuvieran sujetas a una intervención administrativa que implicara una relación de sujeción especial; y, por otra parte, en la mayor precisión introducida en la regulación legal de las causas que facultaban al órgano competente para denegar o someter a condiciones las autorizaciones de esas adquisiciones, sin que sea necesario a los efectos del presente proceso constitucional descender al detalle de la regulación legal de esas concretas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estructura de las disposiciones incluidas en el Decreto-ley, las disposiciones que establecían la sujeción a autorización administrativa de las adquisiciones por cualquier sujeto (y no sólo, como hasta entonces, por sociedades que desarrollaran actividades reguladas) de participaciones en sociedades que realizaran actividades reguladas y la nueva regulación de las causas de denegación o de condicionamiento de las autorizaciones, estaban dotadas de eficacia inmediata y modificaban por tanto de manera instantánea la situación jurídica existente, por cuanto que no sólo entraban en vigor el mismo día de su publicación en el “Boletín Oficial del Estado” (disposición final segunda del Real Decreto-ley 4/2006) sino que se aplicaban incluso a las operaciones pendientes de ejecución (disposición transitoria única del Real Decreto-ley 4/2006).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los dos criterios señalados, el contenido y la estructura de las disposiciones incluidas en el decreto-ley controvertido, debemos rechazar en suma la segunda objeción alegada por los recurrentes desde la perspectiva del art. 86.1 CE. Las medidas incluidas en el Decreto-ley no carecen en efecto de conexión de sentido con la situación de extraordinaria y urgente necesidad definida por el Gobierno, pues, por un lado, eran idóneas para remediar las insuficiencias de la regulación legal en materia de operaciones de concentración en el sector energético apreciadas por el Gobierno y, por otro lado, tenían incidencia inmediata en ese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Hemos de concluir, por todo lo señalado, que, en el caso del Real Decreto-ley 4/2006 objeto del presente proceso constitucional, el Gobierno ha aportado justificación suficiente que permita apreciar la existencia de la situación habilitante requerida por el art. 86.1 CE, y que las medidas incluidas en dicho decreto-ley no carecen de conexión de sentido con respecto a la situación de urgencia definida por aquél.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La extinción del recurso por desaparición sobrevenida del objeto respecto del artículo único y la disposición transitoria única del Real Decreto-ley 4/2006, de 24 de febrero, por el que se modifican las funciones de la Comisión Nacional de Energía.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