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6076-2012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6076-2012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de 9 de octubre de 2012, dictado por el Juzgado de Primera Instancia núm. 5 de Ferrol y el señalamiento de la subasta sobre la finca hipotecada en el procedimiento de ejecución hipotecaria núm. 228-2011.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29 de octubre de 2012, don José Luis Calvo Picallo e Instalaciones Climatización de Galicia, S.L., representados por el Procurador de los Tribunales don Argimiro Vázquez Guillén y asistidos por el Letrado don Manuel Arias Eibe, interpusieron recurso de amparo contra el Auto dictado el 9 de octubre de 2012 por el Juzgado de Primera Instancia núm. 5 de Ferrol, que desestimó la petición de nulidad de actuaciones promovida en el proceso de ejecución hipotecaria núm. 228-2011. La demanda de amparo solicita se dicte Sentencia declarando que se ha vulnerado el derecho de la parte recurrente a la tutela judicial efectiva y, a tal fin, se insta la anulación del Auto de 9 de octubre de 2012 recurrido, con retroacción de actuaciones al momento del emplazamiento y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al amparo de lo dispuesto en el art. 56 de la Ley Orgánica del Tribunal Constitucional (LOTC), la suspensión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que se adopte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instancia de la entidad BBVA, el Juzgado de Primera Instancia núm. 5 de Ferrol inició procedimiento de ejecución hipotecaria número 228-2011, en fecha 21 de noviembre de 2011, contra don José Luis Calvo Picallo e Instalaciones Climatización de Galicia, S.L., y sobre la finca registral hipotecada núm. 8178, inscrita en el Registro de la Propiedad de Pontedeume.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practicó el requerimiento de pago en el domicilio que constaba en la escritura de hipoteca y en el Registro, con resultado negativo, tras lo cual se practicó el requerimiento de pago mediante edictos en la forma prevista en el art. 164 de la Ley de enjuiciamiento civil, e igualmente notificó por edictos la convocatoria de subasta.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Habiendo tenido conocimiento del procedimiento los demandantes en fecha 10 de julio de 2012, según manifiestan, se personaron en autos y plantearon incidente de nulidad de actuaciones, que fue desestimado por el Auto impugnado de fecha 9 de octubre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al no haber sido emplazados ni requeridos de pago en su domicilio real, y que de la documentación aportada a la demanda de ejecución se desprendía otro domicilio —el real en la localidad de A Capela— sin que el órgano jurisdiccional realizara ninguna diligencia previa a la comunicación edictal para emplazar a los demandantes en su verdadero domicilio que constaba en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56.3 LOTC, los demandantes solicitan la suspensión de la ejecución de la resolución recurrida que se concreta en el Auto del Juzgado de Primera Instancia núm. 5 de El Ferrol, de fecha 8 de octubre de 2012, con el objeto de poder garantizar la defensa de sus derechos fundamentales en el proceso civil, sin hacer perder la finalidad del recurso, ya que de lo contrario no se podría restituir la propiedad, de ejecutarse la subasta.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este Tribunal acordó en providencia de 28 de enero de 2013 la admisión a trámite de la demanda de amparo, acordándose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presentó escrito el 4 de febrero de 2013, en el que se ratifica en la petición de suspensión solicitada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presentado el 8 de febrero de 2013, el Ministerio Fiscal interesa que se dicte Auto acordando la suspensión de la resolución recurrida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cautelar de suspensión se concreta en determinar la procedencia de acordar la suspensión del Auto dictado por el Juzgado de Primera Instancia núm. 5 de El Ferrol de 9 de octubre de 2012 que desestimó la petición de nulidad instada en el proceso de ejecución hipotecaria núm. 228-2011. La pretensión formulada se inserta en la facultad de este Tribunal Constitucional de adoptar medidas cautelares en los procesos de amparo, reconocida en el art. 56 de la Ley Orgánica del Tribunal Constitucional (LOTC) y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la suspensión de la ejecución del Auto impugnado, lo que conllevaría la suspensión del señalamiento de subasta del inmueble, concretada en la finca hipotecada en el procedimiento ejecutivo núm. 228-2011 seguido en el Juzgado de Primera Instancia núm. 5 de El Ferrol.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 este Tribunal, en ocasiones precedentes, en los supuestos en que la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ha admitido la viabilidad de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(así, por todos, en AATC 220/2008, de 14 de julio, FJ 2; 64/2009, de 23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refieren la indefensión que han sufrido a no haberles sido comunicada la existencia del proceso de ejecución hipotecaria, el cual está pendiente de señalamiento de subasta sobre la vivienda de su propiedad y en la demanda de amparo se solicita la anulación del Auto de fecha 9 de octubre de 2012 que desestimó el incidente de nulidad de actuaciones que plantearon los demandantes, así como la de todos los actos procesales desde el momento anterior al emplazamiento y requerimiento de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interesada trasciende de la resolución formalmente impugnada, que es un Auto desestimatorio del incidente de nulidad de actuaciones y la parte recurrente en amparo, pretende la retroacción de actuaciones y una nueva tramitación del proceso de ejecución hipotecaria desde su inicio, por lo que, si no se adoptase una medida cautelar se podría materializar la transmisión del dominio del inmueble en cuestión si fuera subastado, creando una situación difícilmente reversible que menoscabaría los fines del presente recurso, debiendo ponderarse asimismo que el demandante señor Calvo justifica que la finca hipotecada constituye su residencia habitual y la de su familia, con dos hijos menores de edad, lo cual permite identificar unos perjuicios de mayor intensidad derivados de la ejecución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atendidas las circunstancias del presente caso, que la suspensión de la ejecución de la resolución judicial entrañe un perjuicio notorio al interés público, habida cuenta de los elementos concurrentes, pues la desposesión del bien embargado y su adquisición por terceros puede originar una situación de marcada irreversibilidad, en coherencia con la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expuestos, sin prejuzgar la decisión de fondo del recurso, conducen a reconocer la suspensión solicitada, que en este caso ha de entenderse también referida al señalamiento de la subasta sobre la finca hipotecada en el procedimiento ejecutivo núm. 228-2011.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de 9 de octubre de 2012, dictado por el Juzgado de Primera Instancia núm. 5 de Ferrol y el señalamiento de la subasta sobre la finca hipotecada en el procedimiento de ejecución hipotecaria núm. 228-2011.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