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7271-2010, promovido por la entidad General de Galerías Comerciales, S.A., representada por la Procuradora de los Tribunales doña María Luz Albacar Medina y asistida por el Abogado don Antonio Ruiz Villén, contra Sentencia de la Sala de lo Civil del Tribunal Supremo, de 30 de abril de 2010 y contra providencia de la misma Sala, de 13 de julio de 2010, inadmitiendo incidente de nulidad de actuaciones promovido contra dicha Sentencia. Ha actuado como parte demandada la empresa Centros Comerciales Carrefour, S.A., representada por la Procuradora doña Lourdes Fernández-Luna Tamayo y defendida por el Abogado don Joaquín María Almoguera Valencia. Ha intervenido el Ministerio Fiscal.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8 de octubre de 2010, la Procuradora de los Tribunales doña María Luz Albacar Medina interpuso demanda de amparo contra las resoluciones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Centros Comerciales Pryca, S.A., consignó escrito de demanda el 16 de septiembre de 1996 ante los Juzgados de Primera Instancia de Marbella, en acción de reclamación de cantidad por daños y perjuicios derivados de incumplimiento contractual contra la entidad aquí recurrente de amparo. La actora alegaba que estando interesada en la explotación de un hipermercado en el término municipal de Marbella había acudido a la demandada en su calidad de promotora de esta clase de establecimientos, la que a su vez se hallaba en trámites con el Ayuntamiento de Marbella para la permuta de unos terrenos donde se levantaría un centro comercial dentro del cual se situaría el hipermercado objeto del pacto, segregando esta última como finca independiente. Tras una serie de negociaciones mantenidas con sus responsables, prosigue narrando la demanda de instancia, el día 2 de agosto de 1995 la promotora demandada y la constructora EMASA remitieron a la actora un fax por el que se confirmaba “el total, pleno y definitivo acuerdo que se había alcanzado para la venta a mi representada del cajón Hipermercado objeto de la presente demanda”, fax que se aportó como documento núm. 7 de dicha demanda y que se titula “Marbella. Calendario de Pagos”. Como parte de los acuerdos alcanzados, añade, entregó a la demandada “un anticipo o financiación para la construcción del Hipermercado” el cual quedó documentado en un “contrato de préstamo sin interés, otorgado entre las partes en 21 de septiembre de 1995”, con fecha de vencimiento 3 de enero de 1996 (documento núm. 11 de la demanda), si bien la misma se pospuso en varias ocasiones por la falta de adjudicación a la promotora de los terrenos, fijándose una última prórroga para el 16 de septiembre de 1996 (documentos 12 y 13). El precio total de la operación era por importe de dos mil setecientos millones de pesetas (2.700.000.000 pesetas.), de los que dos mil millones (2.000.000.000 pesetas.) debían entregarse a la vendedora en el acto de otorgamiento de las escrituras públicas y “el resto hasta alcanzar el total precio debía satisfacerse de acuerdo con los porcentajes reflejados y acordados en el referido fax, a medida que se alcanzaran distintos niveles de obra de construcción, que lógicamente si se había ya alcanzado al otorgamiento de la escritura pública de formalización de la venta, se añadirían al pago previsto en el apartado 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demanda de instancia que ante los retrasos de la promotora en otorgar la escritura, llevó a cabo contra ésta un requerimiento por vía notarial el 9 de septiembre de 1996, con entrega de carta de 6 de septiembre (documento núm. 56) por la que le exigía cumpliera con sus obligaciones. Asimismo y dado que el préstamo había sido garantizado mediante aval (compromiso de pago a primer requerimiento) expedido a su favor por el Banco Exterior de España el 20 de septiembre de 1995 (mismo documento núm. 11), también objeto de varias prórrogas, la actora decidió hacerlo efectivo “en protección de sus más legítimos intereses, el reembolso por el Banco garante de los 800 millones de pesetas objeto de la financiación expresada, ya que la referida garantía vencía a todos sus efectos en el día de hoy [16 de septiembre de 1996]”; ejecución del aval del que ya advertía en la propia carta de 6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se pedía la condena a la demandada a terminar las obras del hipermercado, otorgar a su favor las correspondientes escrituras y a indemnizar a la actora “en el importe de los daños y perjuicios ocasionados, a determinar su importe en ejecución de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Admitida la demanda por el Juzgado de Primera Instancia núm. 4 de Marbella (juicio de mayor cuantía núm. 281-1996), la entidad aquí recurrente presentó escrito de contestación a la demanda, invocando la excepción procesal de litisconsorcio pasivo necesario por no demandarse a la entidad EMASA y, en cuanto al fondo, oponiéndose a lo pretendido, negando que existiera contrato de compraventa y defendiendo en todo caso la autonomía del contrato de préstamo por los ochocientos millones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Abierto trámite de réplica previsto entonces para esta clase de procedimiento por la Ley de enjuiciamiento civil (LEC) de 1881, la actora presentó escrito de 17 de enero de 1997 señalando que ante el conocimiento de que el cajón hipermercado había sido vendido a otra entidad (Alcampo, S.A.), cuantificó las distintas partidas de daños y perjuicios, entre ellas una por mil cien millones de pesetas (1.100.000.000 pesetas) en concepto de daño emergente, resultado de deducir del importe de la venta descubierta del hipermercado (tres mil ochocientos millones), el total de lo pactado en el contrato suscrito entre ambas (los dos mil setecientos millones).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Juzgado dictó Sentencia el 30 de junio de 1998 desestimando íntegramente la demanda, declarando probado (fundamento cuarto) que existieron dos contratos distintos: (i) el de préstamo suscrito por ochocientos millones mediante convenio privado el 21 de septiembre de 1995, sujeto a varias fechas de vencimiento hasta que el 16 de septiembre de 1996 cuando la actora ejecutó su derecho de reembolso; (ii) y el de venta del cajón hipermercado en los términos que refleja aquel documento núm. 7, habiendo aceptado la demandada la oferta de la actora en la que especificaba el objeto del mismo y el precio. Se declara asimismo probado que ni la vendedora entregó la finca ni la compradora abonó el precio, sin que pueda considerarse parte de este último los ochocientos millones ya citados, teniendo en cuenta lo confesado en juicio por el representante legal de Pryca, S.A., quien reconoce que no se había entregado ninguna cantidad a cuenta del precio de la compraventa, así como del examen de la contabilidad de dicha empresa en cuanto al asiento de la operación del préstamo. A partir de estos datos probatorios, colige el Juzgado que hubo incumplimiento por ambas partes de sus respectivas obligaciones, desestimando íntegramente la demanda e imponiendo las costas a la demandada, lo que se corrigió por Auto de rectificación de error material el 2 de julio de 1998, imponiéndolas a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nuevo Auto de 8 de julio de 1998 y a instancia de esta última parte, se aclaró la Sentencia modificando el fallo para decir que se estimaba la demanda en la concreta petición declarativa de la existencia del contrato de compraventa, aunque “sin haber lugar al resto de los pedimentos interesados en el suplico del escrito expositivo inicial, y todo ello con expresa condena en costas a la significada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Centros Comerciales Pryca, S.A., apeló la Sentencia. Del recurso conoció la Sección Quinta de la Audiencia Provincial de Málaga (rollo núm. 718-1998), que el 4 de noviembre de 2003 dictó Sentencia desestimatoria del mismo confirmando la resolución recurrida, si bien declaró la nulidad del Auto de 8 de julio de 1998 al entender que éste no aclaraba sino que rectificaba erróneamente la Sentencia, al considerar como petición autónoma lo que no pasaba de ser un mero presupuesto de la acción de condena ejercitada (fundamento de Derecho cuarto). En cuanto al fondo y en lo que importa destacar, la Sección juzgadora señala en su fundamento de Derecho quinto, que “tras el estudio de la prueba practicada, y en especial de la documental acompañada de los escritos de demanda y contestación … es correcta y acertada la relación de hechos probados que contiene la sentencia recurrida”, manteniendo también el enfoque jurídico de absolver de la demanda al constatar el incumplimiento de las respectivas obligaciones por ambas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Interpuestos recursos de casación y extraordinario por infracción procesal por la actora contra la resolución de apelación, la Sala de lo Civil del Tribunal Supremo dictó Sentencia el 30 de abril de 2010 (recurso núm. 118-2004) declarando haber lugar a los mismos, revocando las dictadas en instancia con estimación parcial de la demanda formulada y condenando a la entidad demandada por incumplimiento de contrato, debiendo indemnizar a la actora en la suma “del equivalente en euros de mil cien millones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interesa a este amparo, el fundamento quinto de la Sentencia entra a resolver y estima el recurso extraordinario por infracción procesal, en concreto por infracción de los arts. 1218 y 1225 del Código civil, en relación con los arts. 319 y 326 LEC, error en la valoración de la prueba documental, diciendo: “A la compradora se le reprocha no haber cumplido con su obligación previa y contractual de adelantar parte del precio, sin tener en cuenta el escrito que la mercantil demandada remitió a la actora el día 2 de Agosto de 1.995. Se trata de lo que ambas partes califican de ‘calendario de pagos’, al que sin duda se relaciona el adelanto, vía préstamo, de los 800.000.000 de pesetas que la compradora entregó a la vendedora un mes después de haber realizado la oferta y que la sentencia califica como un anticipo o señal del precio de la compraventa vinculado, por tanto, al contrato de compraventa del hipermercado, puesto que en la realidad, contrastada mediante dicho documento, venía a cubrir el importe total de las diversas etapas constructivas iniciadas y señaladas en el meritado calendario. Esta prueba contradice de forma evidente los argumentos que, faltos de absoluta lógica, violentan la normalidad contractual con relación al pago puesto que prestamista y prestatario se encontraban vinculados por un contrato de compraventa en el que el comprador asume el compromiso de pagar unas cantidades por la construcción del hipermercado al comenzar las obras (posteriormente renovado), lo cual pone en evidencia el pago que deriva del citado documento y que es perfectamente coherente con el requerimiento notarial dirigido por PRYCA a la vendedora el 9 de septiembre de 1996 para el cumplimiento de su obligación de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este pronunciamiento la Sala entra a resolver el recurso de casación interpuesto en el fundamento sexto, razonando que “la compradora entregó la suma de ochocientos millones de pesetas instrumentada en forma del préstamo como anticipo del precio, cubriendo de esa forma el importe total de las diversas etapas constructivas señaladas en el calendario de pagos. Consecuencia de lo cual es que no debía más cantidad que la restante de 2.000.000 de pesetas que, conforme a dicho calendario, debía satisfacerse en el momento que se concediera a la entidad demandada la Licencia de Construcción y que se otorgara escritura de Declaración de Obra Nueva y División en Régimen de Propiedad Horizontal, ‘donde Centros Comerciales PRYCA quedaría propietaria de la finca destinada a Hipermercado’, previa deducción de cien millones entregados de más”. La Sala sostiene que existe incumplimiento de la vendedora pero no de la compradora, “habida cuenta que entregó 800.000.000 de pesetas al iniciarse la construcción del cajón hipermercado, anticipando con exceso el pago de las distintas partidas referidas en el calendario; exceso que también se tuvo en cuenta en el calendario. Y si no pagó la cantidad restante de 2.000 millones de pesetas fue porque no había surgido dicha obligación, pues … en ningún momento se produjo el otorgamiento de la escritura pública de compraventa a favor de la recurrente, pese a haber sido requerida notarialmente para ello, ni pudo este producirse al haberse transmitido el objeto vendido”.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Accediendo a lo solicitado por la actora en la instancia, “en la forma que se concretó en el escrito de réplica”, la Sentencia entra a cuantificar el perjuicio derivado del incumplimiento de la vendedora, rechazando la condena por lucro cesante (esto es, la “pérdida del negocio que comportaba la adquisición del local”) pero acordándola por daño emergente, equivalente a “la plusvalía que le ha originado la venta a un tercero del Cajón Hipermercado, estimada en la diferencia del valor que tenía la cosa objeto de la compraventa —2.700 millones de pesetas—, y lo que pagó la nueva compradora —3.800 millones de pesetas—, es decir, 1.100 millones” (fundamento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aquí recurrente promovió incidente de nulidad de actuaciones por vulneración del derecho a la tutela judicial efectiva (art. 24.1 CE) en sus vertientes de motivación y derecho a una resolución jurídicamente 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la Sala dictó providencia de inadmisión a trámite el 13 de julio de 2010, señalando lo que sigue: “[N]o ha lugar a admitir a trámite el incidente instado, puesto que según se evidencia por la argumentación de la petición de nulidad efectuada en la que se denuncia la vulneración del derecho a la tutela judicial efectiva en su vertiente de derecho a una resolución motivada, dicha solicitud no tiene más fundamento que mostrar la disconformidad de la parte con la fundamentación de la Sentencia que, como consecuencia de una nueva apreciación fáctica derivada de la revisión de la valoración probatoria, declara la existencia de un contrato de compraventa y su resolución por incumplimiento de la parte vendedora con la consiguiente indemnización del daño derivado de la frustración del incremento patrimonial que hubiera experimentado la entidad compradora, planteamiento que queda debidamente exteriorizado y justificado en derecho sin que, más allá de su no aceptación, suponga una motivación arbitraria. De este forma, la denuncia que se realiza a través del incidente tiene una mera finalidad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 Sentencia dictada en casación produce la vulneración del derecho a la tutela judicial efectiva (art. 24.1 CE) en sus vertientes de derecho a la motivación de las resoluciones judiciales y a obtener una decisión fundada en Derecho, señalando que contiene una “motivación arbitraria e irrazonable, que hace abstracción de las pruebas obrantes en autos y del derecho que le es aplicable, alcanzando una conclusión de todo punto estrambótica e incomprensible”. Considera que la Sala ha contradicho su doctrina general acerca de la improcedencia de revisar en casación los hechos probados y la interpretación de los contratos realizada por los tribunales de instancia, con el resultado de una valoración absurda de la prueba, en cuanto a considerar que los ochocientos millones de pesetas sirvieron como anticipo para cubrir las diversas etapas constructivas señaladas en el calendario de pagos, sin “ningún elemento o material probatorio en el que basa su opinión”, pues las cantidades entregadas en concepto de préstamo no pueden ser imputadas a un pago salvo que las partes novasen el negocio, lo que no ocurrió, hasta el punto, añade, que el préstamo fue devuelto.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del recurso, considera la demanda de amparo que la Sentencia de casación incurre en lesión del art. 24.1 CE, en las dos vertientes indicadas (motivación y resolución fundada), por fijar la cantidad de mil cien millones de pesetas en concepto de indemnización por daño emergente mediante un razonamiento erróneo y arbitrario, que no pasa de ser una mera elucubración y que ni siquiera es realista por no tener en cuenta las cargas fiscales y otros gastos que hubiera generado la propia operación de compraventa; aparte de que en el suplico de la demanda de primera instancia la actora no solicitó que se cuantificaran los daños en sentencia sino en trámite de su ejecución, lo que produce también lesión del derecho a la tutela judicial efectiva, Tercer motivo del recurso, por incongruencia extra petitum.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queja la demanda de amparo, en un motivo que califica de “subsidiario” de los tres anteriores, de la “escasa o nula relevancia” que ha tenido para la Sala de lo Civil del Tribunal Supremo la interposición del incidente de nulidad de actuaciones promovido contra su Sentencia, a pesar de la reforma que dicho mecanismo de tutela de derechos fundamentales ha experimentado con la Ley Orgánica 6/2007, de 24 de mayo, potenciando su utilidad. En su virtud solicita la nulidad de las dos resoluciones impugnadas y, en su defecto, sólo la de la providencia de inadmisión del incidente para que se retrotraigan actuaciones al momento anterior a ser ésta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justifica la especial trascendencia constitucional del recurso del art. 50.1 b) de la Ley Orgánica del Tribunal Constitucional, con invocación de la STC 155/2009, de 25 de junio, en tres aspectos: primero, la existencia de una resolución que, como la Sentencia impugnada, evidencia a su parecer un decisionismo arbitrario en su contenido que vulnera los derechos fundamentales ya invocados; segundo, las consecuencias que tiene la resolución desde la perspectiva de la condena al pago de una suma de mil cien millones de pesetas, suficiente para producir la quiebra de cualquier empresa por potente y saneada que se encuentre; y tercero, en cuanto a la providencia de inadmisión del incidente de nulidad de actuaciones promovido contra aquella Sentencia, la misma responde a la práctica habitual de los órganos judiciales de restar toda importancia a su función de primeros tuteladores de los derechos y garantías fundamentales a través del referido incidente de nulidad, sin entrar en el fondo de los escritos y limitándose a entender que la formulación del incidente es meramente instrumental del posterior recurso de amparo, lo que no responde a una lectura constitucional de la reforma de la Ley Orgánica del Tribunal Constitucional del año 2007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la Secretaría de Justicia de la Sección Cuarta de este Tribunal, de 23 de marzo de 2011, se acordó dirigir comunicación al Juzgado de Primera Instancia núm. 4 de Marbella para que remitiera certificación o fotocopia adverada de las actuaciones correspondientes, insistiéndose mediante recordatorio de 9 de junio de 2011, finalmente cumplimentado por dicho órgano judicial a través de oficio de 20 de julio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16 de febrero de 2012 la Sala Segunda de este Tribunal dictó providencia admitiendo a trámite la demanda de amparo, acordando dirigir comunicación a la Sala Primera del Tribunal Supremo y a la Sección Quinta de la Audiencia Provincial de Málaga para que en plazo no superior a diez días remitieran certificación o fotocopia adverada de las actuaciones relativas, respectivamente, al recurso de casación núm. 118-2004 y al recurso de apelación 718-1998; mientras que se acordó dirigir también comunicación al Juzgado de Primera Instancia núm. 4 de Marbella para que procediera a emplazar a quienes hubieren sido parte en el procedimiento, excepto la entidad recurrente, a fin de su comparecencia ante este Tribunal si lo desean en plazo no superior a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respuesta a este emplazamiento, la Procuradora de los Tribunales doña Lourdes Fernández-Luna Tamayo, actuando como representante de la empresa Centros Comerciales Carrefour, S.A. (titular de los derechos de Centros Comerciales Pryca, S.A.), presentó escrito el 30 de marzo de 2012 solicitando se le tuviera por parte personada en el recurso, dictándose diligencia de ordenación por la Sala Segunda de este Tribunal el 9 de mayo de 2012, aceptando dicha personación aunque condicionada a que por su representante procesal se aportase en el plazo de diez días la escritura de poder original, lo que se satisfizo mediante escrito de 17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dar vista de las actuaciones a las partes y al Ministerio Fiscal por plazo común de veinte días, en orden a la presentación de alegaciones del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25 de mayo de 2012, la representación procesal de la entidad recurrente presentó sus alegaciones ratificándose en todo lo expuesto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 hizo la entidad Centros Comerciales Carrefour, S.A., mediante escrito de 13 de junio de 2012, interesando se dictara Sentencia de inadmisión y subsidiariamente de desestimación del recurso. En primer término, adujo como óbices: a) la extemporaneidad de la demanda, por resultar improcedente el incidente de nulidad de actuaciones con el que sólo se pretendía un nuevo enjuiciamiento del caso controvertido; y b) la falta de justificación del requisito de la especial trascendencia constitucional del recurso, porque ésta se basa en la gravedad de la lesión y porque además se le denegó la suspensión cautelar de la resolución recurrida, por no ser irreparable el perjuicio económico que alega. Ya en cuanto al fondo, la parte defiende lo que han sido sus pretensiones en la vía judicial previa y la corrección de la Sentencia impugnada en amparo, negando que haya vulneración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15 de junio de 2012, interesando la desestimación del recurso de amparo. Sin referirse a los óbices, cree la Fiscalía que la Sentencia recurrida, mediante un razonamiento certero y suficientemente explicado, llegó a la conclusión de que la única de las partes que ha incumplido es la vendedora al no otorgar las correspondientes escrituras públicas, mientras que la compradora “habiendo entregado la suma articulada formalmente como préstamo” de los ochocientos millones, no tenía obligación de pagar el resto del precio (2.000 millones) hasta el acto de otorgamiento de las escrituras, el cual no se produjo por causa imputable a la vendedora. Tampoco aprecia lesión del art. 24.1 CE en cuanto al pronunciamiento de cuantificación de los daños, ni por falta de motivación ni por incongruencia extra petita, dado que la actora solicitó la cuantificación en el trámite de réplica con base en el entonces vigente art. 548 LEC 1881. Rechaza finalmente también el motivo subsidiario de defectuosa motivación de la providencia de inadmisión de la nulidad de actuaciones, que considera correcta.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medio de otrosí, el escrito de demanda de amparo interesó la suspensión de la ejecución de la Sentencia recurrida en cuanto a la condena al pago de los mil cien millones de pesetas (6.611.133,15 euros), más intereses y costas. Abierta la pieza cautelar de suspensión según providencia de esta Sala Segunda de 16 de febrero de 2012, el Ministerio Fiscal presentó alegaciones por escrito de 29 de febrero de 2012, oponiéndose a lo solicitado al no haberse aportado prueba documental o de otro género respecto de la pérdida de finalidad del recurso si aquel importe se hace efectivo. Por su parte, la representante procesal de la recurrente dedujo escrito el 2 de marzo de 2012, ratificándose en lo pedido. La Sala finalmente dictó el ATC 55/2012, de 26 de marzo, denegando la suspensión por tratarse de una cuestión estrictamente económica, sin aportarse prueba que justifique la excepcionalidad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fecha 7 de marzo de 2013, se señaló para deliberación y fallo de la Sentencia el día 11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Sentencia de la Sala de lo Civil del Tribunal Supremo que, declarando haber lugar al recurso extraordinario por infracción procesal y el subsiguiente de casación interpuestos por la parte actora del proceso, acordó estimar en parte la demanda interpuesta, al considerar erróneas las bases fácticas sobre las cuales tanto el Juzgado como la Audiencia Provincial habían apreciado un incumplimiento recíproco de las obligaciones pactadas por ambas mercantiles (absolviendo ambos a la demandada y dejando a las dos partes en la misma situación anterior al pleito), afirmando en su lugar que la valoración de la prueba documental permite colegir que la compradora sí había cumplido con la obligación de pagar el precio, pues abonó ochocientos millones de pesetas y sólo le restaban dos mil millones que debía entregar en el acto de otorgamiento de escrituras, el cual no se realizó por causa imputable a la vendedora. La Sala condena así a esta última al pago en euros del equivalente a mil cien millones (1.100.000.000) de pesetas por daño emergente.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promotora del presente amparo afirma que el nuevo factum fijado por la Sentencia impugnada en amparo, además de suponer ruptura del criterio tradicional de la Sala Primera del Alto Tribunal de respetar la labor cumplida por los Tribunales inferiores en la valoración de la prueba, adolece de irrazonabilidad y por ende lesiona su derecho fundamental a la tutela judicial efectiva (art. 24.1 CE) en sus vertientes de motivación y derecho a una resolución fundada, al no sustentarse en prueba alguna la imputación de los ochocientos millones como parte del pago del precio de la compraventa, dato que resulta decisivo para articular la solución jurídica del caso, con el perjuicio económico indicado. Se cuestiona también bajo el prisma del art. 24.1 CE la motivación y carácter fundado del pronunciamiento de cuantificación de daños, que se reputa igualmente incongruente extra petita, y se niega la motivación (art. 24.1 CE) de la providencia de inadmisión del incidente de nulidad so pretexto de su carácter instrumental respecto del posterior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los motivos de la demanda de amparo en el orden que propone la entidad recurrente, sin que constituyan impedimento para ello los dos óbices procesales opuestos en su escrito de alegaciones por la representación de Centros Comerciales Carrefour, S.A., al no alcanzar éstos la suficiente consistencia, teniendo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alegado defecto de agotamiento de la vía judicial previa al amparo del art. 44.1 a) de la Ley Orgánica del Tribunal Constitucional (LOTC) en virtud de la interposición de un incidente de nulidad de actuaciones contra la Sentencia del Tribunal Supremo: sí que se cumplían los presupuestos exigidos por la norma reguladora (art. 241.1 de la Ley Orgánica del Poder Judicial: LOPJ) para su procedencia, pues la resolución cuestionada era justamente la última recaída en el proceso, con lo que la parte no había podido denunciar antes la lesión; ésta viene referida a un derecho fundamental protegible en amparo ex art. 53.2 CE y el escrito donde se plantea la queja, en fin, cumple con la carga de identificar la faceta del derecho vulnerado así como los hechos determinantes de la lesión. En tales condiciones, la promoción del incidente resultaba no sólo procedente sino preceptiva, para garantizar la subsidiariedad del recurso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respecto de la justificación del requisito de la especial trascendencia constitucional del recurso [arts. 49.1 y 50.1 b) LOTC], es cierto que la demanda inicia este apartado con consideraciones relativas a los motivos de fondo, lo que devendría insuficiente conforme a doctrina reiterada de este Tribunal que individualiza esta carga de argumentación como algo distinto a razonar sobre la existencia de la vulneración del derecho fundamental (últimamente, STC 107/2012, de 21 de mayo, FJ 2 y las anteriores que ahí se citan). Tampoco basta con referirse a las implicaciones económicas de la decisión adoptada por la resolución recurrida, no al menos si ello se plantea desde la óptica de la gravedad de la lesión, criterio en sí mismo descartado como de especial trascendencia (ATC 29/2011, de 17 de marzo, FJ 3). Eventualmente podría subsumirse en el supuesto del apartado “g” del listado de nuestra STC 155/2009, de 25 de junio, FJ 2, cuando las circunstancias del caso evidencien un grado de relevancia y generalidad de esa repercusión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justificó también la especial trascendencia constitucional en la censura que debía merecer la respuesta de inadmisión al incidente de nulidad de actuaciones del Tribunal Supremo, en cuanto expresiva, dice, de una práctica judicial reiterada que minimiza o desprecia el papel atribuido por el Ordenamiento a los Tribunales ordinarios en la protección de los derechos fundamentales, especialmente tras el reforzamiento de dicho incidente por mor de la disposición final primera de la Ley Orgánica 6/2007, de 24 de mayo. Y así planteado, compete sin duda a este Tribunal fijar doctrina que ataje comportamientos que enerven la eficacia de este mecanismo de tutela judicial, en cuanto en ello va comprometido también el carácter subsidiario del amparo. Con este fin se han dictado las SSTC 43/2010, de 26 de julio, FFJJ 4 y 5 (donde el órgano judicial remitía al interesado a promover un proceso declarativo); 107/2011, de 20 de junio, FJ 5 (inadmisión de plano del incidente para que la tutela se dispensara en amparo) y 153/2012, de 16 de julio, FFJJ 3 a 5 (recurso de amparo promovido únicamente contra la resolución de inadmisión del incidente), declarando en todas ellas la vulneración del art. 24.1 CE. La segunda de las citadas (STC 107/2011) resuelve una queja similar a la aquí planteada, pero precisamente dicha Sentencia todavía no se había dictado ni menos todavía publicado en el “Boletín Oficial del Estado” a la fecha en que se interpuso la presente demanda de amparo, lo que por tanto dotaba de especial trascendencia constitucional a este recurso, a falta en ese momento de una doctrina específica [supuesto a) del listado de la STC 155/2009, de 25 de junio, FJ 2]. Por tanto, no concurre tampoco este óbice.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tres motivos del recurso, como ya se ha sintetizado, plantean la lesión de los derechos a obtener una resolución judicial motivada y jurídicamente fundada, lo que exige atender a la doctrina asentada por este Tribunal en torno al contenido esencial de esta doble vertiente del derecho fundamental a la tutela judicial efectiva (art. 24.1 CE), de la que se hace resumen en la reciente STC 182/2011, de 21 de noviembre, FJ 3, en los siguientes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una muy reiterada y ya consolidada doctrina, recogida en sus inicios en las SSTC 61/1983, de 11 de julio, FJ 3, y 13/1987, de 5 de febrero, FJ 3, y confirmada últimamente en el FJ 4 de la STC 248/2006, de 24 de julio, ha venido declarando que el derecho a la tutela judicial efectiva incluye el derecho a obtener de los órganos judiciales una respuesta razonada, motivada, fundada en Derecho y congruente con las pretensiones oportunamente deducidas por las partes, por cuanto la motivación de las resoluciones judiciales, aparte de venir impuesta en el art. 120.3 CE, es una exigencia derivada del art. 24.1 CE que permite conocer las razones de la decisión que aquéllas contienen y que posibilita su control mediante el sistema de los recursos (entre otras muchas, SSTC 163/2000, de 12 de junio, FJ 3; 187/2000, de 10 de julio, FJ 2; y 214/2000, de 18 de septiembre, FJ 4). La motivación debe contener una fundamentación en Derecho (STC 147/1999, de 4 de agosto,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6; 82/2001, de 26 de marzo, FJ 2; 221/2001, de 31 de octubre, FJ 6; 55/2003, de 24 de marzo, FJ 6; 213/2003, de 1 de diciembre, FJ 4). El art. 24 CE impone entonces, a los órganos judiciales, la obligación de dictar una resolución fundada en Derecho que no puede considerarse cumplida con la mera emisión de una declaración de voluntad en un sentido u otro, sino que debe ser consecuencia de una exégesis racional del ordenamiento, y no fruto de la arbitrariedad (SSTC 61/1983, de 11 de julio; 5/1986, de 21 de enero; 78/1986, de 13 de junio; 116/1986, de 8 de octubre, y 75/1988, de 25 de abril, FJ 3). No basta, pues, con obtener una respuesta motivada, sino que, además, ésta ha tener contenido jurídico y no resultar arbitraria (por todas, SSTC 22/1994, de 27 de enero, FJ 2; 324/1994, de 1 de diciembre, FJ 2; 24/1999, 8 de marzo, FJ 3, y 10/2000, de 17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de referencia ha de conducir a la desestimación del primer motivo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ha de precisarse que la posibilidad de efectuar una distinta valoración de la prueba no le está vedada a la Sala de lo Civil del Tribunal Supremo, control que ya era posible bien que de manera restringida, según su propia jurisprudencia, en el recurso de casación anterior a la entrada en vigor de la actual Ley de enjuiciamiento civil (LEC) por la vía del error de Derecho en la valoración de la prueba (art. 1692.4 LEC de 1881) y que en lo que aquí importa considerar, sigue siendo posible hoy a través del recurso extraordinario por infracción procesal, ex art. 469.1.4 LEC de 2000, también de manera limitada a los casos de apreciación arbitraria o ilógica de la prueba, infracción de regla de valoración fijada legal o jurisprudencialmente o cuando dicha valoración no supere el test de “racionabilidad” exigible para respetar el derecho fundamental a la tutela judicial efectiva (tal como recogen, entre otras, las SSTS 831/2004, de 14 de julio; 977/2008, de 17 de octubre; 400/2012, de 12 de junio; 532/2012, de 30 de julio; 595/2012 y 616/2012, ambas de 23 de octubre;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irreprochable el ejercicio de la facultad revisora de los hechos y del Derecho que cumple en el caso la Sala Primera del Tribunal Supremo, ésta, tras una valoración de todos los elementos de prueba obrantes en autos y con aplicación de las normas sustantivas pertinentes, sostiene que la parte compradora había cumplido con las obligaciones que le eran exigibles, mediante el abono de ochocientos millones cuya finalidad última, en interpretación conjunta de todos los pactos suscritos entre las dos entidades, era servir como parte del precio de la compraventa; ello con independencia de que luego ejecutara el aval bancario y los recuperara lo que sólo hizo después de comprobar que la aquí recurrente no iba a cumplir con la entrega del bien inmueble, de modo que los otros dos mil millones de pesetas tampoco le eran exigibles a la compradora al no tener lugar el otorgamiento de escrituras, en cuyo acto debían pagarse. Nada hay en este análisis jurídico, del que deriva en definitiva la conclusión por la Sala Primera del Tribunal Supremo de que la vendedora es la única parte que incumplió sus obligaciones y que por ello tiene la obligación de indemnizar a aquélla en concepto de daños y perjuicios, que pueda considerarse arbitrario ni irrazonable. Desde la función de control externo que nos corresponde desempeñar, no cabe reconocer aquí la lesión del art. 24.1 CE que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Igual suerte desestimatoria han de correr los restantes motivos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 que concierne a la cuantificación de los daños, tal y como observa el Ministerio Fiscal en su escrito de alegaciones, no existe incongruencia extra petita por el hecho de que se haya fijado el daño emergente en la propia Sentencia, en vez de diferirse a la fase de ejecución como pedía la actora en su escrito de demanda de primera instancia, pues en el proceso de mayor cuantía de la LEC de 1881 por cuyo cauce se sustanció el que aquí nos ocupa, resultaba posible aprovechar el trámite de réplica, ex art. 548 de dicha ley procesal, con el fin de ampliar, adicionar o modificar la pretensión deducida inicialmente siempre que con ello no se alterase el objeto principal, límite respetado por la actora al limitarse a solicitar en el escrito correspondiente que se cuantificaran los daños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hay nada que objetar, desde la perspectiva del derecho a una resolución fundada en Derecho (art. 24.1 CE), al método de cálculo elegido por la Sala ad quem, partiendo de la objetividad de los parámetros que selecciona, deduciendo del importe de la venta del hipermercado realizada indebidamente por la vendedora aquí recurrente a una tercera entidad, el inferior precio pactado a su vez en la compraventa frustrada entre las partes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 la queja por la inadmisión del incidente de nulidad de actuaciones, motivo último y subsidiario de los anteriores de la demanda de amparo, lógico corolario de lo que acaba de exponerse ha de ser también su desestimación. Descartada la lesión del derecho a la tutela judicial efectiva por la Sentencia de casación, el que la Sala del Alto Tribunal diga en su providencia de inadmisión visto el contenido del escrito en el que se plantea el incidente, que lo pretendido por la parte al promover contra ella un incidente de nulidad, era instar una nueva valoración de la prueba —como tal, improcedente—, reafirmando a su vez que la Sentencia dictada aparece fundada en Derecho, son razonamientos que la entidad demandante en amparo podrá no compartir, pero desde luego los mismos no evidencian irrazonabilidad ni falta de motivación. Tampoco, como sostiene la recurrente, un desprecio o desdén hacia la función encomendada por el legislador a los Tribunales de la jurisdicción ordinaria, en este caso al Tribunal Supremo, en la protección de los derechos fundamentales; función reforzada tras la ampliación del ámbito objetivo del incidente de nulidad de actuaciones por la disposición final primera de la Ley Orgánica 6/2007, de 24 de mayo (que modifica el art. 241.1 LOPJ con ese fin), como ha tenido ocasión de referirse este Tribunal Constitucional en las Sentencias reseñadas en el anterior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no deriva que toda providencia de inadmisión de un incidente de nulidad, por el mero hecho de serlo, merezca reproche desde la óptica que se predica, debiendo atenderse no sólo al texto de la resolución judicial sino al contenido del escrito por el que dicho incidente se solicita. En este caso y por lo que se ha explicado, no lo merece la providencia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General de Galerías Comerciales,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