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3769-2011, promovido por el Gobierno de Canarias contra el Real Decreto 139/2011, de 4 de febrero, para el desarrollo del listado de especies silvestres en régimen de protección especial y del catálogo español de especies amenazadas. Ha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junio de 2011, la Directora General del servicio jurídico del Gobierno de Canarias, en la representación que legalmente ostenta, interpone conflicto positivo de competencia en relación con el Real Decreto 139/2011, de 4 de febrero, para el desarrollo del listado de especies silvestres en régimen de protección especial y del catálogo español de especies amenazadas.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42/2007, de 13 de diciembre, del patrimonio natural y la biodiversidad crea el listado de especies en régimen de protección especial, en cuyo seno se establece el catálogo español de especies amenazadas. A diferencia de otros listados o catálogos de carácter esencialmente informativo, éstos se constituyen como un instrumento necesario para garantizar complementariamente la consecución de los fines inherentes a la legislación básica. Este modelo se reserva exclusivamente para aquellas categorías de espacios o especies cuyo estado de conservación presenta un mayor grado de amenaza o deterioro y, en consecuencia, para los que es necesario asegurar unas normas mínimas y homogéneas para todo el territorio, que aseguren su correcta protección y restauración o recuperación. La configuración del listado y el catálogo, que encuentra su raíz en aquél, tienen por consiguiente su cobertura en la competencia de legislación básica en materia de protección del medio ambiente, con el contenido preciso que en este ámbito concreto ha establecido la jurisprudencia del Tribunal Constitucional, de la que es expresión significativa la STC 156/1995, de 26 de octubre, reiterada en otras y particularmente en la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discute es el alcance que, en la determinación de lo básico, se contiene en el Real Decreto 139/2011, al incluir en el listado y catálogo, con los efectos que de tal inclusión se hacen derivar de la Ley del patrimonio natural y de la biodiversidad, determinadas especies que, por ser endémicas, sólo existen en el territorio canario, o que, sin serlo, encuentran en Canarias su único punto de distribución en todo el territorio nacional. Tal inclusión invade las competencias autonómicas de desarrollo legislativo y ejecución en materia de protección del medio ambiente, que resultan de los arts. 149.1.23 CE y 32.12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asegura, en aras de intereses generales superiores a los de las Comunidades Autónomas, un común denominador normativo y, dado el carácter transversal del medio ambiente, en esta materia resultan admisibles —con carácter excepcional, sin embargo— las normas procedentes de la potestad reglamentaria, siempre que resulten imprescindibles y se justifiquen por su contenido técnico o por su carácter coyuntural o estacional, circunstancial y, en suma, sometido a cambios o variaciones frecuentes e inesperadas.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los mínimos que puede establecer el Estado, por su carácter de denominador común, deben reunir el presupuesto que justifica la potestad de dictar la legislación básica, que es ser de aplicación al conjunto de las Comunidades Autónomas, o al menos a más de una de ellas, para establecer una regulación uniforme en un determinado sector de actividad. No cabe, en este sentido, legislación especial para una sola Comunidad Autónoma que pretenda ampararse en la competencia sobre legislación básica, porque carecería del fundamento y del alcance de ésta según la jurisprudencia del Tribunal Constitucional. Las particularidades propias de la flora y fauna del archipiélago canario, que por su lejanía y por su insularidad, goza de una biodiversidad única, no pueden formar parte de un “común denominador normativo” que cabe predicar de una norma dictada con carácter básico. Las singularidades que afectan a las especies de Canarias son exclusivas de esta Comunidad, y es a ésta a la que le corresponde establecer un determinado nivel de protección, incluso en ejecución de las directivas y convenios internacionales, cuya aplicación, como ha reiterado la jurisprudencia constitucional, no altera el orden interno de distribución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intereses generales superiores a los de las Comunidades Autónomas, que sirve en la Ley del patrimonio natural y de la biodiversidad de fundamento argumental para dictar las normas básicas en la materia, no añade un componente adicional al contenido que se predica con carácter general de la legislación básica como denominador común o norma de mínimos, lo que se ratifica con la lectura del art. 52 de la Ley del patrimonio natural y de la biodiversidad, que responsabiliza a las Comunidades Autónomas de las medidas necesarias para garantizar la conservación de la biodiversidad que vive en estado silvestre, atendiendo preferentemente a la preservación de sus hábitats y estableciendo regímenes específicos de protección para aquellas especies silvestres cuya situación así lo requiera.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de norma básica o denominador normativo común, los listados aprobados por el Estado en cada una de las categorías establecidas en la ley deben contar con una legitimación supraautonómica, expresiva en este caso del interés general que fundamenta el establecimiento de una normativa uniforme. De no darse este alcance supraautonómico, entra en juego la competencia autonómica enunciada en los arts. 53.4 y 55.4 de la Ley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listados aprobados por el Real Decreto 139/2011 comprenden especies exclusivas del archipiélago canario, incluso algunas que se consideran extintas en el medio natural; otras existen en territorio peninsular, pero se consideran extintas en Canarias; alguna especie no es propia de Canarias, sino introducida, por lo que no debe merecer el mismo grado de protección. Todo ello cuestiona la legitimidad de la intervención estatal para sentar reglas básicas —comunes— dirigidas a una sola Comunidad Autónoma, así como la aplicación de la propia normativa estatal, que no ha tenido en cuenta la posición de Canarias, expresada en sus propios listados o en su intervención en el procedimiento de elaboración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la competencia autonómica en materia de protección del medio ambiente, se dictó la Ley 4/2010, de 4 de junio, del catálogo canario de especies protegidas, Ley que discurre por la vía que ofrecen los arts. 53.4 y 55.4 de la Ley del patrimonio natural y de la biodiversidad, dispensando el grado de protección que, en cada caso, cada especie demandaba. Las relaciones entre la legislación básica del Estado, constituida por la Ley del patrimonio natural y de la biodiversidad, y la ley autonómica, se aclaran en ésta, en cuyo art. 3 se salvan las determinaciones contenidas en el listado y el catálogo del Estado, habiendo sido objeto del acuerdo de la Comisión Bilateral de Cooperación Administración General del Estado-Comunidad Autónoma de Canarias de 13 de diciembre de 2010, en el que con carácter general las partes convienen en interpretar la ley canaria en el sentido de que su aplicación no supone en modo alguno la inaplicación de la legislación básica del Estado, dado que se ha dictado en el ámbito y con el alcance de las competencias autonómicas y, por consiguiente, con sujeción y sometimiento 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contestación al requerimiento de incompetencia, el Estado acude a la STC 102/1995 para justificar la competencia controvertida. Sin embargo, el fundamento 25 de esta Sentencia debe ser entendido en sus justos términos: las normas de protección del medio ambiente están al servicio de los fines inherentes a la normativa básica, lo que produce el doble efecto de reconocer un ámbito de competencia autonómica, y de acotar la intervención del Estado al objetivo de establecer un espacio común en el que las Comunidades Autónomas puedan desarrollar aquélla. Las necesidades de protección pueden hacer más ancho o más estrecho ese espacio común, pero la legitimidad del Estado para tratarlo tendrá que fundarse siempre en los objetivos últimos de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competencia estatal para la regulación de lo básico realizado a través del Real Decreto 139/2011, no respeta la vocación de regulación uniforme que debe predicarse de la normativa básica, al abordar la regulación de singularidades en relación con la flora y fauna del archipiélago canario que son exclusivas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que se declare que la competencia controvertida corresponde a la Comunidad Autónoma de Canarias, y, en consecuencia, se anule el Real Decreto 139/2011, en cuanto incluye en sus listados especies endémicas de Canarias, especies de amplia distribución, pero que en el archipiélago se encuentran representadas únicamente por especies subendémicas de Canarias o de la Macaronesia, y las especies no endémicas, pero que tienen en Canarias el único punto de distribución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julio de 2011, el Pleno de este Tribunal, a propuesta de la Sección Tercera, acordó admitir a trámite el conflicto positivo de competencia interpuesto, ordenando dar traslado de la demanda y documentos presentados al Gobierno de la Nación, por conducto de su Presidente, al objeto de que en el plazo de veinte días y, por medio de la representación procesal que determina el art. 82.2 Ley Orgánica del Tribunal Constitucional (LOTC), aporte cuantos documentos y alegaciones considere convenientes. Se acordó asimismo comunicar la incoación del conflicto a la Sala de lo Contencioso-Administrativo del Tribunal Supremo, a los efectos del art. 61.2 LOTC. Por último, se acordó su publicación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21 de julio de 2011, la Abogada del Estado, en la representación que legalmente ostenta, solicitó prórroga del plazo inicialmente concedido para formular alegaciones, prórroga que le fue concedida por providencia del Pleno de 22 de julio de 2011. Con fecha 30 de septiembre de 2011, la Abogada del Estado presentó su escrito de alegaciones, solicitando la inadmisión parcial y la desestimación parcial o, subsidiariamente, total del conflicto, en atención a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dirige formalmente el conflicto contra la totalidad del Real Decreto 139/2011, como resulta de su suplico. Ahora bien, del cuerpo del escrito rector de este proceso se deduce que la Comunidad actora reconoce la competencia estatal en materia medioambiental, discutiendo únicamente el alcance que, en la determinación de lo básico, se contiene en el mismo, al incluir en el listado y catálogo regulados determinadas especies que, por ser endémicas, sólo existen en el territorio canario, o, sin serlo, encuentran en Canarias su único punto de distribución en todo el territorio nacional. De este modo, no se cuestiona ninguno de los preceptos que contiene el texto impugnado, se niega tan sólo el carácter de norma básica del anexo del Real Decreto 139/2011 pues, como prescribe el art. 4, es en el anexo donde se recoge la relación de especies incluidas en el listado y en su caso, en 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previo escrito requiriendo de incompetencia al Estado, la parte promotora del conflicto ni siquiera viene a concretar aquellas especies que, a su juicio, han sido indebidamente incluidas en el listado y el catálogo. Así, pese a su planteamiento formal, en el escrito de demanda se omite cualesquiera examen particular o razonamiento especial dirigido a demostrar la inconstitucionalidad de alguno de los preceptos del texto reglamentario objeto de conflicto, incumpliendo de esta forma la carga de argumentar los vicios que pretendiese imputar a los mismos, e impidiendo a esta representación ejercer correctamente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ha de conllevar la inadmisibilidad del planteamiento del presente conflicto en lo que hace al articulado y al resto de disposiciones que integran el Real Decreto 139/2011, debiendo quedar restringido el debate competencial a su anexo, en tanto que únicamente en el mismo se contienen los listados cuestionados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solución del presente conflicto pasa por determinar si la regulación cuestionada puede merecer o no la consideración de legislación básica dictada por el Estado al amparo de la competencia prevista en el art. 149.1.23 CE, pues acreditada tal condición, por cumplimiento de las exigencias de orden formal y material de las normas básicas (STC 109/2003, de 5 de junio, FJ 4), vendría a resultar innegable la constitucionalidad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del texto impugnado ha de considerarse formalmente básico, pues como tal es declarado en la disposición final primera del Real Decreto 139/2011, según la cual la totalidad de las previsiones de la citada norma se encuentran amparadas por las competencias reconocidas al Estado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rango normativo de la disposición objeto de conflicto se halla previsto en el art. 53.1 de la Ley del patrimonio natural y biodiversidad, y como intervención reglamentaria encaja en los supuestos admitidos por el Tribunal (SSTC 76/1983, de 5 de agosto; 77/1985, de 27 de junio; 86/1989, de 11 de mayo, y 147/1991, de 4 de julio). Atendiendo a la evolución de los componentes de la diversidad biológica, cabe afirmar que la relación de tales especies no resulta estática o inamovible, sino esencialmente modificable y, por ello, susceptible de constante adaptación. Así, la inclusión de una especie en el listado y en el catálogo exige la evaluación periódica de su estado de conservación, justificándose, en virtud de tal evaluación, cambios en dichos registros (arts. 53 y 55 de la Ley del patrimonio natural y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garantía material, hay que partir de la consideración, recogida en la jurisprudencia constitucional, de que lo básico, como propio de la competencia estatal en la materia de medio ambiente, cumple una función de ordenación mediante mínimos que han de respetarse en todo caso, pero que deben permitir que las Comunidades Autónomas con competencias en la materia establezcan niveles de protección más altos [SSTC 102/1995, de 26 de junio, FFJJ 8 y 9; 306/2000, de 12 de diciembre, FJ 6, y 101/2005, de 20 de abril, FJ 5 c)]. Desde esta perspectiva material, la jurisprudencia constitucional declara que son factibles en las bases un alcance diferente en función del subsector de la materia sobre la que se proyecten, e incluso sobre el territorio, admitiendo el diferente alcance material o territorial que pueden tener las bases, y precisando que ello no ha de concebirse como pura excepción, sino como elementos de la definición del contenido y alcance de la competencia atribuida al Estado cuando éste es el titular de la potestad de dictar las bases de la disciplina de una materia determinada. [SSTC 50/1990, de 6 de abril; 147/1991, de 4 de julio, FJ 4 d); 31//2010, de 28 de junio, FJ 60, y 18/2011,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Derivando de la inscripción en el listado y catálogo nacionales la aplicación a las correspondientes especies de un régimen específico de protección, la determinación de las especies que proceda inscribir ha de corresponder al Estado, para así garantizar una mínima protección de tales especies, y tratar con ello de satisfacer la finalidad perseguida por la legislación básica: preservar la diversidad biológica, deteniendo su ritmo de pérdida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las especies silvestres son elementos vivos de los hábitats naturales que atraviesan diferentes fases en su ciclo biológico y que, en función de factores abióticos y bióticos, pueden conservarse, desaparecer o llegar a reintroducirse en diversas áreas de distribución natural. Esta evolución dinámica de las especies en los hábitats naturales se pone de manifiesto a lo largo del articulado del Real Decreto 139/2011, resultando particularmente ilustrativas las definiciones que se relacionan en el art. 2, en concreto, la contemplada en el número 9: “Estado de conservación de una especie: situación o estatus de dicha especie, definido por el conjunto de factores que actúan sobre la misma y que pueden afectar a medio y largo plazo a la distribución y tamaño de sus poblaciones en el ámbito geográfico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extralimitación competencial que se imputa a los listados aprobados por el Real Decreto 139/2011 debe desecharse pues, además de no ser inmodificable la distribución geográfica natural de las especies, su conservación ha de garantizarse por el Estado implantando un régimen de protección que combata su destrucción y coadyuve a su vez a preservar la diversidad biológica existente en todo el territorio nacional. El legislador nacional ha considerado que apreciar si una especie está en peligro de extinción, es sensible a la alteración de su hábitat, o es vulnerable, encierra un amplio margen de indeterminación que se hace preciso valorar más allá de los límites de una Comunidad Autónoma. Siendo la finalidad esencial perseguida por el Real Decreto 139/2011 la preservación de la diversidad biológica en todo el territorio nacional y la detención de su actual ritmo de pérdida, dicha finalidad unitaria no impide que, cuando sea menester, en la persecución de este objetivo se incluyan en los listados nacionales especies que, pese a tener una distribución natural limitada al ámbito territorial de una Comunidad Autónoma, han de beneficiarse de la protección mínima que depara el Estado para garantizar la necesaria variabilidad de los organismos vivos.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manifestado por la STC 102/1995, FJ 25, podría decirse que la impugnación de los Listados del Real Decreto 139/2011 carece de toda base, puesto que éste sigue el modelo del anterior catálogo nacional de especies amenazadas, tanto en su elaboración como en sus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139/2011 respeta escrupulosamente, en desarrollo de los arts. 52 a 58 de la Ley del patrimonio nacional y biodiversidad, mediante previsiones expresas, el ejercicio de las competencias autonómicas, destacando el art. 6.2, que garantiza la participación autonómica mediante la consulta “para la determinación del régimen específico de protección, y en su caso, para la inclusión de la especie en el Catálogo, de manera que se puedan tener en cuenta las singularidades de su distribución geográfica y el estado de conservación de la especie”.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inclusión de determinadas especies en el listado y el catálogo nacionales no impide a la Comunidad Autónoma imponer un mayor nivel de protección, ni regular su propio catálogo, por lo que no se agota el margen de desarrollo normativo autonómico. Precisamente la Ley canaria 4/2010 crea el catálogo canario de especies protegidas, remitiendo a la legislación básica estatal en cuanto a los efectos de la inclusión, y prescribiendo que el régimen jurídico de protección especial para las dos categorías de especies amenazadas será el establecido por la legislación básica estatal, sin perjuicio de las medidas adicionales de protección previstas en los planes canarios de recuperación y de conservación de las distintas especies catalogadas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2013 se señaló para deliberación y votación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instado por el Gobierno de Canarias contra el Real Decreto 139/2011, de 4 de febrero, para el desarrollo del listado de especies silvestres en régimen de protección especial y del catálogo español de especies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promotora del conflicto que el Real Decreto 139/2011, al incluir en los citados listado y catálogo a especies endémicas de Canarias, o que tienen en el archipiélago su único punto de distribución en el territorio nacional, invade las competencias autonómicas de desarrollo legislativo y ejecución en materia de protección del medio ambiente, que resultan de los arts. 149.1.23 CE y 32.12 Estatuto de Autonomía de Canarias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solicita la desestimación del conflicto, por entender que el Real Decreto 139/2011 reúne las exigencias de orden formal y material para ser considerado como norma básica dictada al amparo de la competencia estatal prevista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acotar el objeto de este proceso constitucional. Señala la Abogada del Estado que, si bien la demanda dirige formalmente el conflicto contra la totalidad del Real Decreto 139/2011, las alegaciones contenidas en el escrito de interposición del conflicto se contraen a una sola cuestión controvertida: la inclusión en el listado de especies silvestres en régimen de protección especial y, en su caso, en el catálogo español de especies amenazadas, contenidos en el anexo del Real Decreto, de determinadas especies que sólo se hallan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demanda no contiene alegaciones que sustenten la impugnación del conjunto del Real Decreto, limitándose a cuestionar el anexo por el motivo anteriormente señalado, lo que delimita a éste el objeto del presente conflicto positivo de competencia, de acuerdo con la doctrina recopilada en la STC 158/2011, de 19 de octubre, según la cual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Abogada del Estado que, a diferencia del previo escrito requiriendo de incompetencia al Estado, la actora no concreta aquellas especies que, a su juicio, han sido indebidamente incluidas en el listado y el catálogo, si bien procede considerar suficiente precisión a estos efectos la remisión expresa contenida en la demanda al acuerdo del Gobierno de Canarias decisorio de la interposición del conflicto, de 16 de junio de 2011, que se acompaña como anexo, y que pormenoriza con todo detalle los concretos supuestos a los que se imputa la vulneración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presente resolución examinaremos únicamente el anexo del Real Decreto 139/2011, en la medida en que incluye en el listado o el catálogo a las especies que la Comunidad Autónoma de Canarias ha identificado como supuestos de vulneración de su competencia, constatando a tal efecto que la actualización de dicho anexo mediante la Orden AAA/75/2012, de 12 de enero, por la que se incluyen distintas especies en el listado de especies silvestres en régimen de protección especial para su adaptación al anexo II del protocolo sobre zonas especialmente protegidas y la diversidad biológica en el Mediterráneo, no afecta a la cuestión aquí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Coinciden las partes en encuadrar la controversia en el ámbito delimitado por los arts. 149.1.23 CE y 32.12 EACan, en cuya virtud, corresponde al Estado, en materia de medio ambiente, la competencia exclusiva para dictar la legislación básica, y a la Comunidad Autónoma de Canarias la competencia de desarrollo legislativo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son, en efecto, la materia y las reglas que rigen la distribución de competencias a considerar. Según explica su preámbulo, la aprobación del Real Decreto 139/2011 responde a lo dispuesto por los arts. 52 a 56 de la Ley 42/2007, de 13 de diciembre, del patrimonio natural y de la biodiversidad, que crean, con carácter básico, el listado de especies silvestres en régimen de protección especial y, en su seno, el catálogo español de especies amenazadas, estableciendo una serie de efectos protectores para las especies incluidas en los citados instrumentos, que se clasifican en dos categorías, “vulnerables” y “en peligro de extinción”, a fin de establecer prioridades de acción e identificar aquellas especies que necesitan una mayor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del entonces denominado catálogo nacional de especies amenazadas nos ocupamos ya en la STC 102/1995, de 26 de junio, señalando que “[n]o se requiere excesiva argumentación para comprender que la necesidad de que existan ciertos registros o catálogos, la configuración de su contenido (datos inscribibles) y la determinación de su eficacia pueden ser tenidos sin dificultad por básicos, como también la ordenación y regulación del servicio en sus líneas maestras. Por otra parte, es posible, desde la perspectiva del orden constitucional de competencias, que la Administración General del Estado establezca un registro único para todo el territorio español que centralice los datos sobre el sector con la doble función complementaria de información propia y publicidad para los demás. Por otra parte, la catalogación ha de conectarse con los Planes y viene también exigida por la normativa supranacional europea (Reglamento CE 3.626/82) y por la internacional (Convenios de Washington, 1973 y de Berna, 1979) para la protección de las especies amenazadas, por la índole de los peligros que sobre ellas se ciernen, más allá de las fronteras de cada país. La inscripción registral que como premisa exige comprobar su conformidad con el grupo normativo correspondiente (legislación básica estatal y su desarrollo legislativo autonómico), y su reverso, la cancelación, alta y baja del catálogo, son actos administrativos y, por tanto, típicamente ejecutivos (SSTC 203/1992 y 236/1991), que en este caso deben corresponder al Estado, para garantizar, con carácter complementario, la consecución de los fines inherentes a la regulación básica, excepcionalmente (SSTC 48/1988 y 329/1993), sin olvidar la exigencia constitucional de coordinar la actividad de las Administraciones públicas (art. 103 CE).” (FJ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esta doctrina en las recientes SSTC 69/2013, de 14 de marzo, FJ 4, y 138/2013, de 6 de junio, FJ 8, en relación con el catálogo español de hábitats en peligro de desaparición.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del Gobierno de Canarias admite que, de acuerdo con la jurisprudencia constitucional, la existencia de estos instrumentos, listado y catálogo, encuentra cobertura en la competencia estatal para dictar la legislación básica de protección del medio ambiente. Discute únicamente su alcance, en concreto la inclusión en el anexo de las especies que, por ser endémicas, sólo existen en el territorio canario, o, sin serlo, encuentran en Canarias su único punto de distribución en todo el territorio nacional. Considera que, al abordar la regulación de singularidades en relación con la flora y fauna del archipiélago canario, exclusivas de esta Comunidad Autónoma, no se respeta la vocación de regulación uniforme de la normativa básica, que debe contar con una legitimación supraautonómica, expresiva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señala la Abogada del Estado, tal presupuesto no tiene en cuenta que, de acuerdo con nuestra doctrina, “la ordenación básica no requiere necesariamente que … el marco básico sea exactamente uniforme e igual para todas las áreas geográficas del territorio nacional, puesto que la tesis contraria no se aviene con la lógica de la competencia básica estatal, cuando se ejerce sobre una materia en la que existan distintas peculiaridades subsectoriales y espaciales que demanden la adaptación de la ordenación básica a esas peculiaridades” [STC 147/1991, de 4 de julio, FJ 4 D)]. Hemos reiterado esta idea en la STC 31/2010, de 28 de junio, FJ 60, al señalar que, como elementos de la definición del contenido y alcance de la competencia atribuida al Estado cuando éste es el titular de la potestad de dictar las bases de la disciplina de una materia determinada, “son factibles en las bases un alcance diferente en función del subsector de la materia sobre la que se proyecten e incluso sobre el territorio” (en el mismo sentido, STC 18/2011,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noción de la normativa básica, como un marco no necesaria y exactamente uniforme para todas las áreas geográficas del territorio nacional, resulta característicamente idónea en su aplicación a la cuestión que aquí se controvierte. En efecto, la inclusión de determinadas especies en el régimen de protección que constituye la ratio de los instrumentos regulados en el Real Decreto 139/2011 viene justificada entre otras circunstancias, precisamente, por la singularidad o rareza de las mismas (arts. 53.1 de la Ley del patrimonio natural y biodiversidad y 5.1 del Real Decreto 139/2011), lo que no es sino corolario de la definición de la diversidad biológica, apoyada en la variabilidad de los organismos vivos (art. 3.3 de la Ley del patrimonio natural y biodiversidad), y de la evolución dinámica de los hábitats y las poblaciones (art. 3.16 y 21 de la Ley del patrimonio natural y biodiversidad). Por otra parte, las estrategias y programas de conservación de las especies así protegidas contemplan medidas de conservación ex situ, e incluso la propagación fuera de su hábitat natural, a fin de constituir reservas genéticas o de obtener ejemplares aptos para su reintroducción en el medio natural (arts. 59 de la Ley del patrimonio natural y biodiversidad y 12 del Real Decreto 139/2011).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pone de manifiesto que la singularidad de determinadas especies identificadas únicamente en el archipiélago canario en el momento de su inclusión en el listado o el catálogo no es motivo para excluir el ejercicio de la competencia estatal ex art. 149.1.23 CE, teniendo además en cuenta que dicha singularidad es susceptible de variación por causas naturales o por las propias medidas adoptadas para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concluir que el Real Decreto 139/2011, que reúne los requisitos formales para ser considerado norma básica, cumple desde la perspectiva material, “en el ámbito de la protección del medio ambiente, una función de ordenación mediante mínimos, que pueden permitir a las Comunidades Autónomas establecer niveles de protección más altos, pero nunca reducirlos (SSTC 170/1989, FJ 2; 196/1996, de 28 de noviembre, FJ 2, y 7/2012, de 18 de enero, FJ 5)” (STC 69/2013, FJ 6). El régimen de conservación de las especies incluidas en el listado y el catálogo regulados en el mismo atiende, en definitiva, a la finalidad perseguida por la legislación básica de preservar la diversidad biológica, deteniendo su ritmo de pérdida actual, y tal finalidad, como hemos señalado en la STC 69/2013, delimita “un ámbito de intervención estatal que puede ser singularmente intensa, en la medida en que la legislación básica, que ‘posee la característica técnica de normas mínimas de protección’ (STC 170/1989, FJ 2), venga justificada por la necesidad de dar respuesta a la situación [de pérdida de la biodiversidad] que ha quedado descrita”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ha de descartarse igualmente la argumentación de la actora basada en la Ley 4/2010, de 4 de junio, mediante la cual la Comunidad Autónoma aprobó el catálogo canario de especies protegidas. Respecto de la alegada contradicción con lo previsto en disposiciones autonómicas anteriores, es doctrina reiterada de este Tribunal que no puede pretenderse que el previo ejercicio de una competencia autonómica en una materia compartida entre el Estado y las Comunidad Autónoma impida o limite al Estado el pleno ejercicio de sus competencias. (SSTC 99/2012, de 8 de mayo, FJ 2, y 207/2012,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de la antes citada STC 69/2013, “[t]al línea argumental debe ser descartada con carácter general, pues resulta evidente que con ella se invierte la relación existente entre la legislación básica y la legislación autonómica de desarrollo. Es la segunda la que debe acomodarse a la primera, siempre que ésta reúna la doble exigencia material y formal con que nuestra jurisprudencia ha caracterizado la legislación básica, y a ese marco básico, que está sujeto a variaciones y modificaciones, queda sometida en todo momento la competencia autonómica de desarrollo legislativo. Como hemos señalado recientemente en cuanto a la variabilidad de las bases estatales, la anticipación de la normativa autonómica no invalida el carácter básico de la normativa aprobada con posterioridad por el Estado, ‘con las consecuencias correspondientes para las normas de todas las Comunidades Autónomas en cuanto a su necesaria adaptación a la nueva legislación básica’ (STC 158/2011, de 19 de octubre, FJ 8), pues ‘no puede pretenderse que el ejercicio previo de una competencia autonómica en una materia … produzca, por esa sola razón, una suerte de efecto preclusivo que impida al Estado el ejercicio de sus propias competencias … De este modo, si se reconoce que el Estado tiene la competencia para desarrollar las bases en una determinada materia, esa competencia integra la capacidad para modificar la regulación básica, de modo tal que el ejercicio de la competencia autonómica de desarrollo no puede bloquear esa capacidad de revisión por parte del Estado, bajo el argumento de que la nueva normativa básica va contra los dictados de las disposiciones autonómicas previas’ [STC 99/2012, de 8 de mayo, FJ 2 b)].”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anexo del Real Decreto 139/2011 objeto del conflicto resulta amparado por la competencia exclusiva que el art. 149.1.23 CE reserva al Estado para dictar la legislación básica de protección del medio ambiente, sin que suponga invasión de la competencia atribuida a la Comunidad Autónoma de Canarias por el art. 32.12 EACan.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