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Francisco José Hernando Santiago,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1281-2013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1281-2013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medida cautelar de suspensión acordada en la presente pieza por la providencia de 3 de junio de 2013.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5 de marzo de 2013, el Procurador de los Tribunales don Jaime Briones Méndez, actuando en nombre y representación de don Lluis Corominas Padullés, interpuso recurso de amparo constitucional contra la Sentencia de la Sala de lo Penal del Tribunal Supremo recaída el 28 de noviembre de 2012 que desestimó el recurso de casación núm. 913-2012 interpuesto contra la Sentencia de la Sala de lo Civil y Penal del Tribunal Superior de Justicia de Cataluña de 19 de marzo de 2012, dictada en el rollo de apelación núm. 29-2012, que anula la Sentencia de la Audiencia Provincial de Barcelona recaída el 21 de junio de 2011 en el procedimiento de jurado núm. 20-2011 (en la que se declaró no culpable al recurrente del delito de homicidio de que era acusado, al apreciar la circunstancia eximente completa de legítima defensa), ordenándose la celebración de un nuevo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en la misma demanda de amparo se solicitó de este Tribunal la suspensión de las resoluciones judiciales impugnadas, conforme al art. 56.6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junio de 2013 la Sala Segunda de este Tribunal acordó la admisión a trámite de la demanda de amparo, así como, por apreciar las condiciones a que se refiere el art. 56.2 LOTC, suspender la ejecución de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otra providencia de la misma fecha, la Sala acordó abrir pieza separada y conceder un plazo de diez días al Ministerio Fiscal y demás partes personadas para que efectuasen alegaciones respecto al mantenimiento de la medida cautelar de suspensión acordada en la indicada primera providencia de 3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11 de junio de 2013 la representación procesal del demandante de amparo pidió el mantenimiento de la medida cautelar adoptada, a fin de que el recurso de amparo no pierda su finalidad. Argumenta que la celebración del nuevo juicio, sin esperar al pronunciamiento de este Tribunal Constitucional, supondría un claro riesgo de perjuicio de imposible o muy difícil reparación, sometiendo al recurrente a un innecesario segundo juicio oral por idénticos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19 de junio de 2013 el Ministerio Fiscal informó favorablemente el mantenimiento de la medida de suspensión acordada, en atención a que el levantamiento de la suspensión supondría, en este caso, la continuación del proceso penal con la celebración de un nuevo juicio oral ante un tribunal de jurado con distinta composición, nuevo enjuiciamiento que, en sí mismo, significa un nuevo riesgo para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56.6 de la Ley Orgánica del Tribunal Constitucional (LOTC) atribuye a las Salas y Secciones de este Tribunal la facultad de adoptar, en la propia resolución de admisión a trámite de los recursos de amparo, medidas cautelares inaudita parte, en supuestos de urgencia excepcional. En el ejercicio de tal facultad, mediante la providencia de 3 de junio de 2013 se acordó suspender la ejecución de la Sentencia de la Sala de lo Penal del Tribunal Supremo recaída el 28 de noviembre de 2012 en el recurso de casación núm. 913-2012 interpuesto contra la Sentencia de la Sala de lo Civil y Penal del Tribunal Superior de Justicia de Cataluña de 19 de marzo de 2012, que anuló la Sentencia de la Audiencia Provincial de Barcelona recaída el 21 de junio de 2011 en el procedimiento de jurado núm. 20-2011 (en la que se declaró no culpable al recurrente del delito de homicidio de que era acusado, al apreciar la circunstancia eximente completa de legítima defensa), ordenándose la celebración de un nuevo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Reiteradamente hemos entendido que la concurrencia de una urgencia excepcional que autorice a este Tribunal a adoptar medidas cautelares sin oír a las partes y a hacerlo sin consignar motivación —al acordarse en la propia providencia de admisión a trámite del recurso de amparo— obliga a dictar una nueva resolución motivada en la que, tras oír a las partes, se expresen las razones que lleven al Tribunal a mantener, modificar o levantar la medida inicialmente acordada, tal y como venimos haciendo desde el ATC 213/2009, de 9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Habiéndose oído ya a las partes, con el resultado que consta en los antecedentes de esta resolución, debemos recordar que la facultad de este Tribunal Constitucional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en cualquier otro supuesto, son diversos los intereses que en este caso deben ser valorados para determinar la procedencia o no del mantenimiento de la suspensión de las resoluciones contra las que se ha promovido el recurso de amparo. De un lado, este Tribunal viene considerando que cuando el recurso se dirige contra resoluciones judiciales, lo más acorde con el interés general es su cumplimiento, que dota de efectividad a la tutela judicial (art. 24.1 CE) del litigante que obtuvo un pronunciamiento favorable a sus pretensiones. Como contrapeso, nuestro sistema de justicia constitucional configura la posibilidad de que se suspenda la ejecución de las resoluciones judiciales por razón de las cuales se reclame el amparo, cuando se acredite suficientemente la irreparabilidad del perjuicio que pudiera traer consigo la ejecución de la resolución impugnada, privando al amparo de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atención a las circunstancias concurrentes en el presente caso debemos apreciar, como ya hiciéramos en similares ocasiones, dimanantes también de procedimientos de jurado (AATC 103/2001, de 3 de mayo; 170/2001, de 22 de junio; 277/2001, de 29 de octubre; y 311/2001, de 18 de diciembre), que la suspensión se presenta como el medio adecuado para mantener el procedimiento penal en una situación que permita, cuando proceda, dar respuesta con plena eficacia a las diferentes denuncias de conculcación de sus derechos fundamentales formuladas por el recurrente en el proceso constitucional, pues de otro modo la eventual estimación del recurso de amparo quedaría privada de efectividad en la medida en que con el mismo se trata de impedir la repetición del juicio oral del que trae causa este proceso constitucional. En este sentido, la celebración de un nuevo juicio oral devendría en un perjuicio irreparable ya si, finalmente, se apreciara la infracción constitucional denunciada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no se aprecia que la suspensión puede afectar, perturbándolos gravemente, a intereses constitucionalmente protegidos o a derechos fundamentales o libertades públicas de terceras personas.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medida cautelar de suspensión acordada en la presente pieza por la providencia de 3 de junio de 2013.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