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7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6147-2011, promovido por Juan Carlos Balerdi Iturralde, representado por la Procuradora de los Tribunales doña Raquel Sánchez-Marín García y asistido por el Letrado don Luis Fernández Trívez, contra el Auto 515/2011, de fecha 30 de septiembre de 2011, dictado por la Sección Primera de la Sala de lo Penal de la Audiencia Nacional, que desestima el recurso de apelación interpuesto contra el Auto del Juzgado Central de Vigilancia Penitenciaria de fecha 28 de marzo de 2011, que también desestima la reforma contra el Auto del mismo Juzgado de fecha 7 de febrero de 2011.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noviembre de 2011, la Procuradora de los Tribunales doña Raquel Sánchez-Marín García, en nombre y representación de Juan Carlos Balerdi Iturralde, asistido por el Letrado don Luis Fernández Trívez,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interno en el centro penitenciario de Jaén, mantuvo en fechas 6 y 7 de noviembre de 2010 sendas comunicaciones vis a vis, a cuyo término, el jefe de servicios resolvió que, en base a lo dispuesto en el artículo 68.2 del Reglamento penitenciario, se le practicaran sendos cacheos mediante registros corporales con desnudo integral.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fin reseñado, los citados acuerdos se adoptaron por escrito, consignándose en ambos como motivación la de “sospechar que pudiere ocultar en su cuerpo algún objeto o sustancia prohibida tras la comunicación vis a vis”.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ser sometido a los referidos cacheos, el interno dirigió en fecha 30 de noviembre de 2010 un escrito conteniendo una queja al Juzgado Central de Vigilancia Penitenciaria, alegando la lesión de su derecho a la intimidad personal del artículo 18.1 CE, al carecer de motivación concreta alguna la adopción de tales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tras oír al Ministerio Fiscal, dictó Auto de fecha 7 de febrero de 2011 por el que inadmitió la queja, basándose en la realidad de la previsión en la Ley Orgánica general penitenciaria y el Reglamento penitenciario, así como en el protocolo del propio centro de Jaén y en la instrucción 3/2010 de la Secretaría General de Asuntos Penitenciarios.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por la parte actora recurso de reforma, en el que insistía en la falta de motivación del acuerdo del centro penitenciario, el Juzgado dictó Auto desestimatorio de fecha 28 de marzo de 2011, señalando que las nuevas alegaciones vertidas en el recurso, no desvirtuaban lo inicialmente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dicha resolución el actor interpuso recurso de apelación ante la Sección Primera de la Sala de lo Penal de la Audiencia Nacional, que dictó Auto núm. 515/2011, de 30 de septiembre, resolviendo hacer propios los mismos razonamientos del Juez a quo, señalando literalmente “ya que en el presente caso no se ha afectado derecho fundamental alguno del interno pues la actuación de la administración está amparada por la Ley Orgánica General Penitenciaria y los reglamentos de desarrollo que limitan derechos de los internos. Por otro lado, el derecho a comunicar vis a vis de forma íntima puede existir en la medida en que existen adecuados controles de seguridad, de los que el cacheo integral es uno de ellos, fundamento por el que el propio reglamento penitenciario en los arts. 64, 65 y 68 prevé ésta y otras medidas de control. Dicho de otro modo, la comunicación íntima tiene como contrapartida el control a posteriori mediante el desnudo integral del interno, de modo que sólo cuando ese cacheo se haga de forma inadecuada, ofensiva o con abuso o desviación de poder será reprochable la actuación de la administración, pero no por la realización del examen corporal en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la vulneración del derecho a la intimidad personal, recogido en el artículo 18.1 de la Constitución, al habérsele practicado, sin motivo que lo justificase, cacheos con desnudo integral después de sendas comunicaciones vis a vis. El demandante cita la doctrina recogida en la STC 57/1994, de 28 de febrero, en relación a los cacheos y registros corporales de los internos, y la regulación de los arts. 68 y 93 del Reglamento penitenciario, alegando que la posibilidad de realizar cacheos con desnudo integral de los internos debe fundarse en motivos de seguridad concretos y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demandante aduce que fue sometido a dos cacheos con desnudo integral practicados los días 6 y 7 de octubre de 2010, sin ningún tipo de justificación, lo que vulnera el derecho a la intimidad personal garantizado por el artículo 18.1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octubre de 2012 la Sala Segunda de este Tribunal acordó la admisión a trámite de la demanda de amparo presentada y, de conformidad con lo dispuesto en el art. 51 de la Ley Orgánica del Tribunal Constitucional, dirigir atenta comunicación al Juzgado Central de Vigilancia Penitenciaria y a la Sección Primera de la Sala de lo Penal de la Audiencia Nacional para que remitieran respectivamente certificación o fotocopia adverada de las actuaciones correspondientes expediente 680-2003, y se emplazase a quienes hubieran sido parte en el citado procedimiento para que en el plazo de diez días pudieran comparecer en este proceso constitucional de amparo,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18 de febrero de 2013 se acordó dar traslado al Ministerio Fiscal y a la parte recurrente para alegaciones por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8 de marzo de 2013, la representación procesal del demandante de amparo formuló alegaciones, reproduciendo en síntesis los argumentos de hecho y de Derecho invocados en su escrito de formalización de la demanda y solicita que se dicte Sentencia otorgando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fecha 22 de marzo de 2013, el Ministerio Fiscal presentó sus alegaciones, interesando de la Sala que dicte Sentencia por la que se otorgue el amparo solicitado, con fundamento en la doctrina expresada en la STC 218/2002, de 25 de noviembre, reproduciendo a su vez lo fallado en la STC 204/2000, de 24 de julio, que afirma que la ocasional invasión de la intimidad requiere de la proporcionalidad y exteriorización de su justificación mediante la expresión fundamentada de las razones que llevan a la adopción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Ministerio Fiscal concluye reconociendo la ilegitimidad de la medida ordenada en las dos ocasiones en las que el interno concluyó sendas comunicaciones vis a vis, por cuanto que las resoluciones impugnadas realizan una valoración genérica e imprecisa de una supuesta conducta del interno, que no se apoya en razón expresa alguna y que no parece obedecer sino a una fórmula rituaria de carácter preventivo que se aplica en todo caso a cualquier interno y en cualquier ocasión en que se realice una comunicación personal con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tal patente falta de motivación, concluye el Fiscal que es evidente la vulneración del derecho a la intimidad personal del artículo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octubre de 2013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del Auto 515/2011, de 30 de septiembre, dictado por la Sección Primera de la Sala de lo Penal de la Audiencia Nacional, que desestima el recurso de apelación interpuesto contra los Autos del Juzgado Central de Vigilancia Penitenciaria de fecha 7 de febrero de 2011 y 28 de marzo de 2.011, que a su vez desestimaban la queja contra los acuerdos del jefe de servicios del centro penitenciario de Jaén, de fechas 6 y 7 de noviembre de 2010, resolviendo que se le practicaran al recurrente sendos cacheos mediante registros corporales con desnudo integral.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alega que las resoluciones impugnadas lesionan su derecho fundamental a la intimidad personal (art. 18.1 CE). Aduce en apoyo de su tesis la doctrina de la STC 57/1994, de 28 de febrero y alega que también en este caso queda patente que la necesidad de la medida aquí impugnada carecía de cualquier fundamentación, pues los acuerdos de fecha 7 de octubre y 6 de noviembre de 2010 del centro penitenciario de Jaén, autorizan cacheos con desnudo integral “por sospechar que pudiera ocultar en su cuerpo algún objeto o sustancia prohibida tras la comunicación vis a vis”.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entiende que no existe la más mínima motivación que justifique la orden del funcionario de prisiones, ni en ésta ni en los Autos dictados por el Juzgado Central de Vigilancia Penitenciaria y por la Sección Primera de la Audiencia Nacional, por lo que interesa que se dicte Sentencia otorgando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lugar a este recurso de amparo pueden sintetizarse así: los días 7 de octubre y 6 de noviembre de 2010, en el centro penitenciario de Jaén, después de una “comunicación vis a vis” se procedió a efectuar sendos cacheos integrales, con la siguiente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sospechar que pudiera ocultar en su cuerpo algún objeto o sustancia prohibida tras la comunicación de vis a vis” en la resolución de 7 de octubre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-“sospechas de que pueda introducir en el Centro objetos o sustancias que puedan suponer un riesgo para la seguridad del establecimiento o sus trabajadores” en la resolución de 6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hechos tienen identidad sustancial con los que dieron lugar a la STC 218/2002, de 25 de noviembre, que reproduce a su vez la doctrina recogida en las SSTC 57/1994 de 28 de febrero, FFJJ 5 y 6 y 204/2000, de 24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términos, basta con recoger la doctrina de la STC 218/2002, de 25 de noviembre, FJ 4, la cual puede sintetizarse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intimidad personal consagrado en el art. 18.1 CE aparece configurado como un derecho fundamental, estrictamente vinculado a la propia personalidad y que deriva, sin duda, de la dignidad de la persona humana que el art. 10.1 CE reconoce. Entrañando la intimidad personal constitucionalmente garantizada la existencia de un ámbito propio y reservado frente a la acción y el conocimiento de los demás, necesario —según las pautas de nuestra cultura— para mantener una calidad mínima de vida humana (SSTC 231/1988, FJ 3; 179/1991, FJ 3, y 20/1992,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intimidad personal forma parte, según tiene declarado este Tribunal, la intimidad corporal, de principio inmune en las relaciones jurídico-públicas que aquí importan, frente a toda indagación o pesquisa que sobre el propio cuerpo quisiera imponerse contra la voluntad de la persona. Con lo que queda así protegido por el ordenamiento el sentimiento de pudor personal, en tanto responda a estimaciones y criterios arraigados en la cultura de la propia comunidad (SSTC 37/1989, FJ 7; 120/1990, FJ 12, y 137/1990,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“con referencia al concreto ámbito penitenciario este Tribunal ha puesto de relieve que una de las consecuencias más dolorosas de la pérdida de la libertad es la reducción de la intimidad de los que sufren privación de libertad, pues quedan expuestas al público, e incluso necesitadas de autorización, muchas actuaciones que normalmente se consideran privadas e íntimas. Mas se ha agregado que ello no impide que puedan considerarse ilegítimas, como violación de la intimidad ‘aquellas medidas que la reduzcan más allá de lo que la ordenada vida en prisión requiere’ (STC 89/1987,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presente caso, cierto es que la medida fue adoptada en el marco de la relación de sujeción especial que vincula al solicitante de amparo con la Administración penitenciaria, y que ésta, en virtud de tal situación especial, ha de velar por la seguridad y el buen orden del centro, deber que le viene impuesto por la Ley Orgánica general penitenciaria, que es la Ley a la que se remite el art. 25.2 CE como la habilitada para establecer limitaciones a los derechos fundamentales de los reclusos. Mas no es menos cierto que, pese a la naturaleza de las relaciones jurídicas que se establecen entre la Administración penitenciaria y los internos en uno de sus establecimientos, estos conservan todos los derechos reconocidos a los ciudadanos por las normas de nuestro ordenamiento, con excepción, obvio es, de aquellos que son incompatibles con el objeto de la detención o el cumplimiento de la condena; y también que las actuaciones penitenciarias deberán llevarse a cabo ‘respetando, en todo caso, la personalidad humana de los recluidos y los derechos e intereses de los mismos no afectados por la condena’ (art. 3 LOGP), entre los que la legislación en esta materia expresamente garantiza el de la intimidad personal de los internos”.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ello debe añadirse que el art. 71.1 del Reglamento penitenciario prescribe que “las medidas de seguridad se regirán por los principios de necesidad y proporcionalidad y se llevarán siempre a cabo con el respeto debido a la dignidad y a los derechos fundamentales, especialmente las que se practiquen directamente sobre las personas. Ante la opción de utilizar medios de igual eficacia, se dará preferencia a los de carácter electrónico”, concretando en su art. 68.2 que “por motivos de seguridad concretos y específicos, cuando existan razones individuales y contrastadas que hagan pensar que el interno oculta en su cuerpo algún objeto peligroso o sustancia susceptible de causar daño a la salud o integridad física de las personas o de alterar la seguridad o convivencia ordenada del Establecimiento, se podrá realizar cacheo con desnudo integral con autorización del Jefe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indudable que una medida de registro personal de los reclusos mediante el cacheo con desnudo integral puede constituir, en determinadas situaciones, un medio necesario para la protección de la seguridad y el orden de un establecimiento penitenciario, si bien para afirmar la conformidad de la medida enjuiciada con la garantía constitucional a la intimidad personal de los reclusos es necesario ponderar, adecuadamente y de forma equilibrada, de una parte, la gravedad de la intromisión que comporta en la intimidad personal y, de otra parte, si la medida es imprescindible para asegurar la defensa del interés público que se pretende proteger. Y es claro que el respeto a esta exigencia requiere una fundamentación de la medida por parte de la Administración penitenciaria, asentada en razones individuales y contrastadas, pues sólo tal fundamentación permitirá que sea apreciada por el afectado en primer lugar y, posteriormente, que los órganos judiciales puedan controlar la razón que justifique, a juicio de la Administración penitenciaria, y atendidas las circunstancias del caso, el sacrificio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ahora se examina falta toda mención de los motivos de seguridad concretos y específicos que determinaron la necesidad del cacheo integral, puesto que únicamente se hace una referencia genérica a sospechas de ocultación de algún objeto, sin expresar ningún tipo de razón individual y contrastada que permita identificar la justificación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como se indicaba en la STC 57/1994, de 28 de febrero, FJ 6, “no puede considerarse justificación suficiente de la medida la simple alegación de que en la generalidad de las prisiones las comunicaciones íntimas son el medio habitual para que los internos reciban desde el exterior objetos peligrosos o estupefacientes; ya que sin entrar a cuestionar la certeza de tal afirmación basta reparar que sólo posee un carácter genérico, cuando lo relevante a los fines de justificar una medida que limita el derecho constitucional reconocido en el art. 18.1 CE es, por el contrario, que se hubiera constatado por la Administración penitenciaria que tal medida era necesaria para velar por el orden y la seguridad del establecimiento, en atención a la concreta situación de éste o el previo comportamiento del recluso”.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Idéntico reproche debe realizarse a la fundamentación de los Autos del Juzgado Central de Vigilancia Penitenciaria y de la Sección Primera de la Sala de lo Penal de la Audiencia Nacional que adolecen de una patente falta de motivación, pues se limitan a citar la normativa que autoriza los cacheos personales, pero eluden explicar por qué en el caso, tales registros eran procedentes y se justificaba la invasión de la privacidad del interno, como también alegó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razonamientos expuestos conducen a la conclusión que los cacheos integrales concretamente ordenados en el caso que ahora se examina, sin la específica fundamentación ya señalada, vulneraron el derecho a la intimidad personal del hoy demandante de amparo —art. 18.1 CE—, provocando así la nulidad de las resoluciones que acordaron la práctica de los cacheos y, por tanto, de las resoluciones judiciales que no la repararon, siendo, por consecuencia, procedente el pronunciamiento previsto en el art. 53 a) de la Ley Orgánica del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recurso de amparo promovido por don Juan Carlos Balerdi Iturralde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intimidad personal (art. 18.1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los acuerdos del centro penitenciario de Jaén de fechas 7 de octubre y 6 de noviembre de 2010, así como los Autos del Juzgado Central de Vigilancia Penitenciaria de 7 de febrero y 28 de marzo de 2011, que desestimaron la impugnación de aquéllos y el Auto de 30 de septiembre de 2011, de la Sección Primera de la Sala de lo Penal de la Audiencia Nacional, que desestimó el recurso de apelación contra las anteriores resoluciones.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