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Juan José González Rivas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3959-2012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3959-2012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entidad mercantil Estacionamientos y Servicios, S.A., contra la providencia de 10 de octubre de 2012, por la que se acordó no admitir su personación en el procedimiento de recurso de amparo núm. 3959-2012, por no cumplirse lo dispuesto en el art. 51 de la Ley Orgánica del Tribunal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octubre de 2012, la Procuradora de los Tribunales doña Celina Casanova Machimbarrena, en nombre y representación de Estacionamiento y Servicios, S.A., defendida por el Letrado don José Antonio García Trevijano Garnica, solicita se le tenga por personada en el recurso de referencia, a fin de sostener y ejercitar los derechos que pudieran corresponder a dicha entidad.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10 de octubre de 2012, acordó no admitir dicha personación puesto que, de conformidad con el art. 51.2 de la Ley Orgánica del Tribunal Constitucional (LOTC), solo una vez admitida a trámite la demanda de amparo, podrá tener lugar el emplazamiento, a través del órgano judicial correspondiente, de quienes fueron parte en el procedimiento antecedente (art. 51.2 LOTC), por lo que no es posible personación o intervención alguna de otras partes interesadas distintas del demandante en la fase preliminar de admisión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registrado el 29 de octubre de 2012, la misma Procuradora interpone recurso de súplica contra la anterior providencia. Argumenta que una cosa es que una vez admitida una demanda de amparo, deba emplazarse a los interesados conforme al art. 51.2 LOTC, y otra diferente que con o sin emplazamiento, pueda personarse quien sea interesado, y lo pueda hacer en cualquier momento, al no disponerse otra cosa por norma alguna. Señala también que, si no se admitiera esa personación, sería muy fácil para el demandante ocultar al Juzgado la resolución que se adopte y con ello, alargar artificialmente el proceso en perjuicio de otros interesados. Por último, se afirma que el derecho a la tutela judicial efectiva sin indefensión (art. 24.1 CE) es incompatible con que no se permita comparecer, aún antes de que se decida sobre la suspensión que directamente afecta a quien se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2 de noviembre de 2012, la Secretaría de Justicia de la Sala Segunda concede plazo para la acreditación por la Procuradora de la representación que dice ostentar y, verificada la misma, en fecha 23 de noviembre, la Sección Tercera de la Sala Segunda, acuerda unir a las actuaciones el escrito presentado, y a tenor de lo establecido en el art. 93.2 de la Ley Orgánica del Tribunal Constitucional, conceder un plazo común de tres días a fin de que las partes aleguen lo que estimen pertinente en relación al recurso de súplica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7 de diciembre de 2012, la representación procesal del recurrente evacuó dicho trámite, considerando que las pretensiones que sustentan el recurso de súplica carecen de todo soporte legal. Por un lado, se afirma que no resulta admisible que se presuponga de esa parte una posible deslealtad procesal; por otro, que la pretensión de personación anticipada a la admisión del recurso de amparo no resulta legalmente posible, citándose al efecto lo señalado en la Sentencia de este Tribunal 23/1992, de 14 de febrero, y solicita, en consecuencia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19 de diciembre de 2012 tiene entrada en este Tribunal el escrito de alegaciones del Ministerio Fiscal, en el que se manifiesta que la posible personación en un recurso de amparo por quien no lo ha promovido y fue parte en el proceso antecedente, exige un pronunciamiento previo de este Alto Tribunal sobre la admisión a trámite de la demanda (art. 51.1 LOTC) y solo, una vez admitida, cabría una eventual personación en el procedimiento tras el emplazamiento, a quienes fueron parte en el procedimiento antecedente para que puedan comparecer en el plazo de diez días, por el órgano judicial que conoció del procedimiento, de conformidad con el art. 51.2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Examinadas las alegaciones presentadas hay que coincidir con el Ministerio Fiscal en que, de conformidad con lo señalado en el art. 51, de la Ley Orgánica del Tribunal Constitucional (LOTC), la posibilidad de que puedan comparecer en el procedimiento de amparo personas distintas del demandante, está sujeta a un doble condicionamiento: por un lado se exige que quien pretenda comparecer haya sido parte en el procedimiento antecedente, por otro, dicha personación solo podrá producirse en el supuesto de que haya sido “admitida la demanda de amparo” (art. 51.1). Así tuvimos ya ocasión de señalarlo en el ATC 315/1995; FJ 1, donde afirmamos que conforme a lo señalado en el precitado precepto, “hasta la admisión a trámite de la demanda de amparo no se realiza el llamamiento de quienes fueron parte en el procedimiento antecedente para que puedan comparecer en 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tenido ocasión de señalar este Tribunal, el alcance de las normas rectoras del proceso constitucional de amparo, como la consignada en el citado art. 51 LOTC, ha de ser aplicado de manera estricta, en atención al tenor literal de las mismas y por su carácter de derecho necesario afectante al orden público procesal, de modo tal que “no consiente, por no cohonestarse con su esencia, interpretaciones analógicas que redunden por su carácter expansivo, en una indebida ampliación del ámbito a que presta cobertura el enunciado normativo” (AATC 188/1996, de 8 de julio, FJ 3; y 81/1998, de 30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y en aplicación del referido criterio, no cabe sino concluir desestimando la pretensión formulada en el presente recurso de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entidad mercantil Estacionamientos y Servicios, S.A., contra la providencia de 10 de octubre de 2012, por la que se acordó no admitir su personación en el procedimiento de recurso de amparo núm. 3959-2012, por no cumplirse lo dispuesto en el art. 51 de la Ley Orgánica del Tribunal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