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las medidas cautelares solicitadas.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abril de 2013, el Procurador de los Tribunales don Evencio Conde de Gregorio, en nombre y representación del Ayuntamiento de Cambrils, y bajo la dirección del Letrado don Vicente Martí Aromir, interpuso recurso de amparo contra el Auto de la Sección Tercera de la Sala de lo Contencioso-Administrativo del Tribunal Superior de Justicia de Cataluña de 13 de febrero de 2013, que desestima el incidente de nulidad de actuaciones interpuesto contra la Sentencia de 4 de diciembre de 2012, que estima parcialmente el recurso de apelación núm. 67-2011 interpuesto contra la Sentencia del Juzgado de lo Contencioso-Administrativo núm. 2 de Tarragona de 5 de noviembre de 2010, dictada en el recurso ordinario núm. 300-2009, condenando al recurrente a abonar a la parte actora la suma de 400.000 €, en concepto de responsabilidad patrimonial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en lo relativo al pago de las 400.000 € de responsabilidad patrimonial, argumentando que por la cuantía y circunstancias del Ayuntamiento recurrente los perjuicios serían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3 de septiembre de 2013, el recurrente comunicó que por Auto del Juzgado de lo Contencioso-Administrativo núm. 2 de Tarragona de 12 de junio de 2013 se denegó la solicitud de suspensión de la ejecución y se despachó la ejecución, procediéndose al ingreso de la cantidad acordada en Sentencia el 12 de julio de 2013 y a su entrega a la parte actora por diligencia de ordenación de 19 de julio de 2013. Igualmente, afirma que la actora ha procedido al cambio de forma societaria unipersonal en diciembre de 2012 y no ha presentado las cuentas anuales en el plazo establecido, lo que, unido al estudio de las cuentas depositadas en el Registro Mercantil, pone de manifiesto que su situación podría hacer temer la imposibilidad de recuperar el importe de la indemnización en caso de ser otorgado el amparo. Por tanto, una vez que ya se ha hecho entrega del dinero, el recurrente solicita que se requiera a la parte actora para que proceda a afianzar la cantidad percibida por alguno de los medios válidos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este Tribunal, por sendas providencias de 7 de octubre de 2013,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18 de octubre de 2013, presentó alegaciones en las que, enunciando la jurisprudencia de este Tribunal sobre el particular, interesó que, una vez que ya estaba ejecutada la Sentencia, se acordara la medida cautelar de afianzamiento de la cantidad entregada, habida cuenta de que la parte actora está en situación especial sobrevenida por no tener depositadas sus cuentas anuales en el Registro Mercantil.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por escrito registrado el 16 de octubre de 2013, presentó alegaciones solicitando que se acuerde la devolución del dinero entregado y, subsidiariamente, afianzar dicha cantidad, tal como ya se acordó por el Tribunal Constitucional en situaciones precedentes (AATC 294/1989, de 5 de junio, 170/1995, de 6 de junio o 61/2000, de 28 de febrero). El recurrente insiste en que tal como se describe en el informe del Interventor municipal que se adjunta del estudio de las cuentas depositadas se desprende que la situación de la parte actora hace temer la imposibilidad de recuperar el importe abonado si se estimara el recurso de amparo, además de haber cambiado de forma societaria y no haber presentado cuentas anuales en el plazo establecido.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una vez que se ha producido la ejecución de la resolución impugnada, solicita, al amparo del art. 56.3 de la Ley Orgánica del Tribunal Constitucional (LOTC), que se adopte como medida cautelar la devolución de la cantidad abonada en ejecución de la Sentencia impugnada (400.000 €, más los intereses devengados) y, subsidiariamente, su afianzamiento por cualquier medio admitido en derecho. Estas solicitudes las fundamenta en que del estudio de las cuentas depositadas en el Registro Mercantil de la parte actora, a cuyos efectos se adjunta un informe del Interventor municipal, se desprende que su situación hace temer la imposibilidad de recuperar el importe abonado si se estimara el recurso de amparo. También pone de manifiesto que la parte actora ha cambiado de forma societaria y no ha presentado cuentas anuales de 2012 en el plazo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Ley Orgánica del Tribunal Constitucional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Por su parte, el art. 56.3 LOTC establece que se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adopción de medidas cautelares en el procedimiento de amparo, este Tribunal ha declarado que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solo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(ATC 81/2012, de 7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contenido del fallo de la resolución impugnada es exclusivamente de carácter económico. Su ejecución, teniendo en cuenta la cuantía (400.000 €, más los intereses), no puede considerarse que ocasione un perjuicio irreparable al ayuntamiento recurrente si se compara con su presupuesto para el año 2013, que es superior a los 47 millones de euros. Del mismo modo, utilizando como referencia el capital suscrito por la parte actora, que es superior a los 25 millones de euros, tampoco cabe apreciar la existencia de los riesgos para una eventual devolución en caso de otorgamiento del amparo alegados por el recurrente. El breve informe realizado por los servicios municipales sobre la capacidad de la parte actora para generar fondos suficientes para el pago de sus obligaciones no solo resulta limitado por la información utilizada, como dicho informe reconoce, sino que, además, tampoco parece concluyente atendiendo a su afirmación sobre la equilibrada estructura del pasivo de la empresa actora y el mantenimiento en positivo desde 2007 de los test de solvencia. Del mismo modo, tampoco se acredita la relevancia que puede tener sobre la existencia del riesgo de no devolución el cambio de la naturaleza societaria de la parte actora ni el que se haya producido el incumplimiento de la obligación de depósito dentro del plazo establecido de las cuentas anuales correspondientes a 2012.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las medidas cautelares solicitadas.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