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10619-2006, avocado al Pleno, promovido por don Egoitz Coto Etxeandía, representado por el Procurador de los Tribunales don Javier Cuevas Rivas y asistido por el Letrado don Alfonso Zenón Castro, contra la Sentencia de la Sala de lo Penal del Tribunal Supremo de 4 de octubre de 2006 que desestimó el recurso de casación núm. 10203-2006 interpuesto contra la Sentencia de la Sección Segunda de la Sala de lo Penal de la Audiencia Nacional de 30 de noviembre de 2005, dictada en el rollo núm. 30-2003.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Javier Cuevas Rivas, en nombre y representación de don Egoitz Coto Etxeandía,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dictó Sentencia el 30 de noviembre de 2005 por la que condenó al recurrente, junto a otras cuatro personas, como autor de dos delitos de asesinato terrorista en grado de tentativa, a la pena de diez años de prisión por cada uno, con la accesoria de dieciséis años de inhabilitación absoluta; y, como autor de un delito de daños, a la pena de dos años de prisión con la accesoria de nueve años de inhabilitación absoluta; así como a la responsabilidad civil consiguiente, en favor de las víctimas y entidades perjudicadas por los daños y perjuicios causados; y al abono de las costas procesales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declarados probados, el recurrente, junto a otros integrantes de un grupo organizado y siguiendo un plan preestablecido en el marco de las acciones de la llamada lucha callejera o “kale borroka”, el día 5 de agosto de 2001, tras inutilizar previamente el alumbrado público, procedieron a lanzar artificios incendiarios contra la sucursal núm. 5 de la entidad bancaria BBK en Portugalete, al objeto de que acudieran funcionarios de la Ertzaintza. Personados dos agentes en un vehículo camuflado, fueron reconocidos por los asaltantes, quienes procedieron a romper los cristales del vehículo policial con numerosos objetos contundentes y lanzaron a su interior “cócteles molotov”, incendiando el vehículo y causando graves quemaduras a los dos agentes que se encontraban en su interior, quienes tuvieron que ser rescatados por otros compañeros que acudieron en su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resultas de dicha acción, uno de los agentes sufrió quemaduras en el 10 por 100 de su cuerpo, que le afectaron a la cara, espalda y brazo izquierdo, quedándole secuelas diversas; el segundo agente sufrió quemaduras en el 30 por 100 de su cuerpo, que le afectaron a la cara, cuello, ambas manos, antebrazos, brazos y espalda, quedándole también importantes secuelas. Se causaron daños en la oficina bancaria y en diversos vehículos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Sentencia, por infracción de precepto constitucional, invocando la lesión de sus derechos a la intimidad (art. 18.1 CE) y a la autodeterminación informativa (art. 18.4 CE), así como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949/2006, de 4 de octubre, mediante la que desestimó el recurso de casación presentado por el recurrente, confirmándose así el pronunciamiento condenatorio de instancia respecto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intimidad personal (art. 18.1 CE) a causa de que el análisis del perfil genético del recurrente fue realizado por la policía autonómica sin ningún tipo de control. Se afirma que esta prueba se realizó tras haber recogido un agente una colilla de cigarrillo arrojada por el recurrente cuando se encontraba detenido por otra causa, confrontándose con los restos genéticos hallados en una prenda utilizada durante la actuación delictiva. Considera que tal análisis, pese a no suponer una intervención corporal, habría precisado de autorización judicial, pues afecta al derecho a la intimidad, al poder revelar datos sensibles e íntimos de la persona, por lo que su práctica debió estar rodeada de esta garantía, para tener así seguridad de que las personas que lo realizan no se exceden en su cometido y evitar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demandante la infracción de la garantía de “autodeterminación informativa” prevista en el art. 18.4 CE, a causa de que la Ertzaintza habría procedido a incluir en una base de datos informatizada el resultado del análisis de las muestras genéticas del recurrente, sin ningún tipo de control administrativo ni de otro orden, sin que se sepa quién o quiénes tienen acceso a tales datos ni quiénes son sus responsables, ni si esos datos personales van a ser utilizados para otros fines o durante cuánto tiempo se conservarán y si podrán ser utilizados en futuros procedimientos penales. Se habría actuado por dicha policía autonómica al margen de la normativa vigente, por lo que estaríamos ante un ataque a la intimidad, por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aduce la infracción del derecho a la presunción de inocencia (art. 24.2 CE) porque los órganos judiciales habrían apreciado como prueba de cargo el análisis de ADN, que no puede considerarse válida por haberse realizado sin autorización judicial, resultando que todas las demás derivadas de esta prueba también han de reputarse ilícitas por aplicación de lo dispuesto en el art. 11.1 de la Ley Orgánica del Poder Judicial (LOPJ). Además, se da una falta absoluta de intervención judicial en “la toma de muestra indubitada” (colilla arrojada en la celda), siendo así que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En este caso el análisis se ha practicado sobre muestras biológicas del recurrente obtenidas y conservadas subrepticiamente, no siendo recogidas por un médico forense sino por un policía sin ninguna preparación al respecto. Por otra parte, no se documentó convenientemente la recogida de las muestras, no existiendo la más mínima “cadena de custodia” que demuestre que la evidencia recogida contenga la saliva del recurrente, dándose cuenta al Juez de estas diligencias muy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lesionado el derecho a la presunción de inocencia (art. 24.2 CE) porque, con independencia de la licitud o no de la prueba de ADN, no concurre prueba de cargo suficiente para la condena. Así, este análisis no pasa de ser sino una mera prueba indiciaria, limitándose el órgano judicial en este caso a recoger la coincidencia del perfil genético del imputado con el encontrado en la prenda intervenida, sin darse explicación alguna sobre cómo tal circunstancia avalaría su participación en los hechos probados. Por el contrario, concurren otros elementos probatorios, como las declaraciones prestadas en el juicio oral por algunos testigos, que conducirían a una conclusión contraria, al desprenderse de éstas que la prenda encontrada podría haber estado en el lugar de los hechos con anterioridad o bien podría haber sido utilizada por otra persona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entiende el demandante que se ha producido una violación de su derecho a un proceso con todas las garantías (art. 24.2 CE), por cuanto el recurso de casación interpuesto no ha satisfecho el derecho a la doble instancia en materia penal establecido en el art. 14.5 del Pacto internacional de los derechos civiles y políticos (PIDCP). Dicho recurso no habría supuesto un mecanismo efectivo de control del fallo condenatorio y de la pena impuesta, al no permitir al Tribunal Supremo proceder a una nueva valoración de la prueba y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2008 la Sección Cuarta de este Tribunal, de conformidad con lo dispuesto en el art. 50.3 de la Ley Orgánica del Tribunal Constitucional (LOTC) en su redacción anterior a la aprobada por la Ley Orgánica 6/2007, de 24 de mayo, acordó conceder un plazo común de diez días a la parte demandante de amparo y al Ministerio Fiscal para que formularan las alegaciones que estimasen pertinentes acerca de la conveniencia de apreciar la causa de inadmisión prevista en el art. 50.1 c) LOTC, consistente en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cumplimentó el trámite de alegaciones mediante escrito registrado el 18 de noviembre de 2008, en el que sostuvo que el recurso no carecía de contenido constitucional, reiterando en lo sustancial los razonamientos jurídicos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día 3 de diciembre de 2008, el Ministerio Fiscal formuló sus alegaciones, solicitando la inadmisión de la demanda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del afectado, comienza el Fiscal señalando que desvelar el ADN no codificante a los meros efectos identificativos de una persona para su imputación criminal comporta una injerencia mínima en su derecho a la intimidad, pues todas las personas poseen datos identificativos de público conocimiento y de obligada constatación desde el momento mismo de su nacimiento. No obstante, la ley puede autorizar a la policía judicial la práctica de determinadas inspecciones, reconocimientos e incluso intervenciones corporales leves, señalando el art. 11.1 g) de la Ley Orgánica 2/1986, de 13 de marzo, de fuerzas y cuerpos de seguridad, que éstas, entre otras funciones, tienen la de “investigar los delitos para descubrir y detener a los presuntos culpables, asegurar los instrumentos, efectos y pruebas del delito, poniéndoles a disposición del Juez o Tribunal competente y elaborar los informes técnicos y periciales procedentes”, por lo que, en este caso, el análisis de las muestras biológicas recogidas tiene cobertura legal. Por lo demás, el analizar los restos de un cigarrillo para poder determinar el perfil genético de una persona a los meros efectos identificativos, a fin de compararlo con el perfil genético de personas implicadas en graves hechos delictivos cuya identidad era desconocida, respeta los principios de proporcionalidad y razonabilidad, al no existir otro modo de posible actuación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 la libertad informativa del art. 18.4 CE, rechaza el Fiscal que se haya producido, pues el análisis se ha realizado por un organismo público sujeto a una rígida normativa en su funcionamiento y a los mecanismos de control y seguridad normativamente previstos. De otra parte, el fichero en el que se recogen los datos investigados está excluido del régimen de la Ley Orgánica 15/1999, de 13 de diciembre, de protección de datos de carácter personal, a la vista de su art. 2.2 c), al tratarse de la investigación del “terrorismo y otras formas graves de delincuencia organizada”. Así las cosas, los datos archivados se limitan a desvelar los perfiles genéticos pertenecientes a autores de delitos de estas características para proceder a su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toma de las muestras, razona el Ministerio público que parece claro que las colillas arrojadas al suelo por el demandante podían ser recogidas por los funcionarios policiales; es más, dicha recogida, si hubiera sido seguida de su ulterior tratamiento como basura, no sería objetable por el demandante. No sólo esta actuación estaría amparada por el art. 11.1 de la Ley Orgánica 2/1986 y el art. 282.1 de la Ley de enjuiciamiento criminal, que autorizan a la policía judicial a recoger las pruebas de los delitos, sino que también parece razonable que una pronta y cuidadosa recogida de estos restos biológicos, para evitar así riesgos de manipulación y contagio, presenta menos riesgos que una actuación más alejada en el tiempo. Por otra parte, la concurrencia en este caso de la denominada “cadena de custodia” de dichas muestras ha podido ser valorada por los órganos judiciales a través de los testimonios en el juicio oral de los policías intervinientes, tanto de los que recogieron las colillas, como de los que las enviaron al laboratorio y de los peritos que realizaron los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cuarto motivo, entiende el Fiscal que no se ha producido lesión alguna de la presunción de inocencia, pues la Sentencia condenatoria tuvo por acreditados los hechos en virtud de una pluralidad de pruebas testificales y periciales, extendiéndose en sus razonamientos sobre la coincidencia del perfil genético del recurrente con el hallado en la prenda intervenida. Además, el órgano judicial examinó la prueba de descargo presentada por su defensa, considerándola irrelevante, apareciendo huérfana de todo sustento la afirmación que se hace en la demanda de que otros indicios avalarían una conclusión contraria respecto a la autoría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aprecia el Fiscal una vulneración del derecho a la segunda instancia penal, porque las cuestiones planteadas por el condenado en su recurso de casación (sobre la validez del análisis de ADN, ausencia de prueba de cargo para su condena y otras) han sido examinadas por el Tribunal Supremo, satisfaciéndose así las exigencias del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marzo de 2009 la Sala Segunda de este Tribunal acordó admitir a trámite la demanda y, a tenor de lo dispuesto en el art. 51 LOTC, solicitar a la Sala de lo Penal del Tribunal Supremo y a la Sección Segunda de la Sala de lo Penal de la Audiencia Nacional la remisión de certificación o fotocopia adverada de las actuaciones correspondientes al recurso de casación núm. 10203-2006 y al rollo núm. 30-2003, respectivamente. También se acordó que se procediera al emplazamiento de quienes hubiesen sido parte en el procedimiento, excepto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solicitado, por otrosí en la demanda, la suspensión de la ejecución de la Sentencia condenatoria impugnada, por providencia de 17 de marzo de 2009 la Sala Segunda acordó formar la correspondiente pieza separada de medidas cautelares y, de conformidad con lo previsto en el art. 56.4 LOTC, conceder un plazo común de tres días al Ministerio Fiscal y a la parte recurrente para que alegasen lo que estimaran pertinente en relación con dicha pretensión. El Fiscal presentó sus alegaciones mediante escrito registrado el 2 de abril de 2009, solicitando la denegación de la petición suspensiva. El demandante reiteró su solicitud por escrito de 8 de abril de 2009. Finalmente, la Sala dictó el ATC 139/2009, de 11 de mayo, mediante el que se denegó la suspensión solicitada, tanto en relación a las penas privativas de libertad y sus accesorias, como en orden a los pronunciamientos de contenido patrimonial 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30 de junio de 2009 se acordó, a tenor de lo dispuesto en el art. 52.1 LOTC, dar vista de las actuaciones por un plazo común de veinte días al Ministerio Fiscal y al recurrente en amparo,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cumplimentó este trámite de alegaciones el 15 de julio de 2009, solicitando la denegación del amparo, con base en los razonamientos ya expuestos en su anterior informe. La representación procesal del demandante de amparo presentó escrito, registrado el 1 de septiembre de 2009, en el que se ratifican las alegaciones contenidas en el escrito de demanda y se añaden algunas consideraciones en refuerzo de las anteriores pero sin alterar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propuesta de la Sala Segunda y de conformidad con lo establecido el art. 10.1 n) LOTC, el Pleno del Tribunal, por providencia de 13 de enero de 2014,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enero de 2014,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Segunda de la Sala de lo Penal de la Audiencia Nacional de 30 de noviembre de 2005 que condenó al recurrente como autor de dos delitos de asesinato terrorista en grado de tentativa y un delito de daños, así como la Sentencia de la Sala de lo Penal del Tribunal Supremo de 4 de octubre de 2006 que desestimó el recurso de casación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 su derecho a la intimidad personal (art. 18.1 CE), al haberse realizado por la policía autonómica vasca sin autorización judicial un análisis de muestras biológicas suyas que fue confrontado con el de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dice haberse infringido el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 perfil genético con el encontrado en la prenda intervenida en el lugar de los hechos no es concluyente de su participación en los mismos, existiendo en las actuaciones otros elementos probatorios que avalan una conclusión contraria. Finalmente, aduce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(en adelante,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pues la injerencia mínima que pueda suponer la realización del análisis genético del recurrente, con finalidad meramente identificativa, estaba permitida legalmente a la policía judicial en el marco de sus obligaciones de investigación del delito, concurriendo en este caso las notas de proporcionalidad y razonabilidad. La libertad informativa tampoco ha sido vulnerada pues el procesamiento de datos fue efectuado por un organismo público con la única finalidad de desvelar los perfiles genéticos de autores de delitos de graves características, estando excluido este fichero del régimen de la Ley Orgánica 15/1999, de 13 de diciembre, de protección de datos de carácter personal. De otro lado, añade que entre las funciones de la policía también está la de recoger las pruebas del delito, en este caso los restos biológicos, pudiendo haber sido comprobada por el Tribunal sentenciador la regularidad de la “cadena de custodia” de las muestras a través de los interrogatorios en el juicio de los funcionarios policiales, concurriendo prueba válida en la que basar la condena del recurrente. Por último, estima que el recurso de casación resuelto por el Tribunal Supremo ha cumplido adecuadamente su función en orden a la revisión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nuestro habitual criterio de otorgar prioridad al enjuiciamiento de aquellas quejas cuya estimación pudiera conllevar la retroacción de actuaciones (por todas, STC 182/2009, de 7 de septiembre, FJ 3), comenzaremos por la referida a la lesión del derecho a un proceso con todas las garantías (art. 24.2 CE), que, a juicio del demandante, se habría producido como consecuencia de que el recurso de casación formulado no ha supuesto un mecanismo efectivo de revisión de la condena impuesta en los términos exigidos por el art. 14.5 PIDCP, al no haberse realizado por el Tribunal Supremo un nuevo examen crítico del material probatorio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este Tribunal Constitucional ha ido conformando un cuerpo de doctrina, fundamentalmente a partir de la STC 70/2002, de 3 de abril, FJ 7, con arreglo a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Precisando las posibilidades de revisión en sede casacional y, en concreto, la posibilidad de examinar los hechos probados, hemos resaltado que nuestro sistema casacional no se limita al análisis de cuestiones jurídicas y formales, sino que actualmente, a través de la invocación del 24.2 CE (tanto del derecho a un proceso con todas las garantías como, fundamentalmente, del derecho a la presunción de inocencia), es posible que el Tribunal Supremo controle tanto la licitud de la prueba practicada en la que se fundamenta el fallo, como su suficiencia para desvirtuar la presunción de inocencia y la razonabilidad de las inferencias realizadas (STC 116/2006, de 24 de abril, FJ 5).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la valoración de la prueba” (STC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luego de justificar ampliamente en su Sentencia la validez y eficacia de la prueba de ADN practicada (fundamentos jurídicos 2 a 4), pone de relieve que la inferencia realizada por la Audiencia Nacional sobre la participación del acusado no es irrazonable y responde a las reglas de la experiencia, “contrastando el valor incriminatorio de los análisis de ADN con las pruebas testificales de descargo presentadas por las defensas, explicitando de forma racional y lógica por qué no les concede suficiente credibilidad, a la vez que refiere el resto de las pruebas que confirman su convicción” (fundamento jurídico 7), añadiendo que la falta de explicación alternativa de cómo pudieron aparecer aquellas huellas genéticas puede ser valorada por la Sala para reforzar su convicción (mismo fundamento jurídico 7). Posteriormente, el Tribunal de casación, con ocasión de perfilar el carácter de la acción perpetrada, procede a una ponderación de las declaraciones de los funcionarios policiales que sufrieron el atentado y de los testigos que lo presenciaron, concluyendo que la conducta del recurrente se enmarcó en un ataque colectivo dentro de las acciones denominadas como “kale borroka”, en el que todos los condenados intervinieron en el acuerdo previo y ostentaron dominio funcional del hecho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ha procedido a una revisión de la Sentencia condenatoria en términos constitucionalmente adecuados a las exigencias del art. 24.2 CE, interpretado a la luz del art. 14.5 PIDCP, realizando un análisis detallado de la prueba practicada, para concluir que no se había producido ningún error de valoración y que las inferencias realizadas en la instancia eran conformes a las reglas de la lógica y de la experiencia, no incurriendo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queja formulada por el recurrente es la referida a la vulneración de su derecho a la intimidad (art. 18.1 CE) como consecuencia de haber procedido la policía autonómica vasca, sin su consentimiento ni autorización judicial, a extraer el ADN de muestras biológicas obtenidas de cigarrillos arrojados por él en el calabozo donde se hallaba detenido por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supone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obtención de otros datos que los meramente identificativos, se produjo con la finalidad de ser comparado con los restos hallados en una prenda utilizada en la realización del hecho delictivo, teniendo como único objeto la averiguación de la persona que había utilizado la mencionada prenda en la perpetración de aquél, de muy intensa gravedad, como son los dos delitos de asesinato terrorista en grado de tentativa y otro de daños,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aquélla cobertura se encuentra en los arts. 282 y 363 de la Ley de enjuiciamiento criminal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para la protección de los derechos humanos y de las libertades fundamentales. Así lo hemos afirmado, con cita de la STEDH en el caso Sociedad Plon contra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siguientes razones, expresadas en su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del demandante,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 perfiles del ADN obtenido a partir de la muestra tomada,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eventual eficacia probatoria de los restos biológicos contenidos en el cigarrillo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resultaba un medio adecuado para revelar la identidad de este último (idoneidad); ii) no existía un medio alternativo para comprobar si el demandante había participado o no en los hechos delictivos enjuiciados (necesidad); y, finalmente, iii) el modo en el que el análisis del ADN se practicó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la queja que acabamos de examinar, se alega por el demandante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no se produjo como consecuencia de la incorporación de su perfil genético identificativo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intervención judicial en el momento de la toma de los restos biológicos contenidos en el cigarrillo (por las razones expuestas en relación con la innecesariedad de la autorización judicial para la realización del análisis) o por falta de preservación de la denominada cadena de custodia de la muestra biológica obtenida, esto es, el aseguramiento de que la muestra recogida fue la misma que sirvió para el análisis comparativo posteriormente efectuado con el perfil de ADN obtenido a partir de la prenda recogida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las muestras analizadas, en consideración al contenido de las declaraciones efectuadas en el juicio oral por los policías que las recogieron, quienes dieron explicaciones sobre los protocolos y métodos de obtención, de las clases de análisis que se efectuaron, de su conservación, y de cómo adoptaron las medidas oportunas para evitar la contaminación de los objetos que contenían las muestras biológicas, ratificándose en las actuaciones que constaban en autos y sometiéndose tanto a las preguntas de la acusación como de la defensa.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también en relación con el derecho a la presunción de inocencia (art. 24.2 CE), aduce el demandante que, con independencia de su queja sobre la ilicitud de la prueba de ADN, no existe prueba de cargo suficiente para la condena, pues, a su juicio, concurren otros elementos probatorios, como las declaraciones prestadas en el juicio oral por algunos testigos, que conducirían a una conclusión contraria a la alcanzada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como recuerda la STC 70/2010, de 18 de octubre,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De este modo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desdobla en la demanda el motivo de amparo basado en la vulneración del derecho a la presunción de inocencia (art. 24.2 CE), ya hemos rechazado, con lo afirmado en los fundamentos jurídicos precedentes, la primera de ellas, referida a la utilización de prueba ilícita. Tal como hemos expuesto, el análisis de muestras biológicas del demandante ha sido practicado respetando las exigencias constitucionales y sin lesión de los derechos a la intimidad (art. 18.1 CE) y a la autodeterminación informativa (art. 18.4 CE), por lo que su utilización como prueba no constituye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cual los órganos judiciales concluyen la culpabilidad del recurrente, es preciso traer a colación, brevemente, la doctrina de este Tribunal según la cual, a falta de prueba directa de cargo, también la prueba indiciaria puede sustentar un pronunciamiento condenatorio sin menoscabo del derecho a la presunción de inocencia, siempre que: los hechos bases o indicios estén plenamente probados; los hechos constitutivos del delito se deduzcan precisamente de estos hechos bases completamente probados;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del demandante, los órganos judiciales tomaron en consideración la aparición de su huella genética en el lugar de los hechos, debiéndose considerar que la prueba de ADN es prueba directa, y no mero indicio, de que se produjo contacto directo del recurrente con la prenda hallada en la escena delictiva, a partir de lo cual y ante la mera negativa del demandante acerca de su presencia en el lugar cuando ocurrió la acción delictiva, la inferencia de los órganos judiciales de la participación del recurrente en el atentado terrorista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Egoitz Coto Etxeandía.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10619-2006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el fallo y con la fundamentación jurídica de la Sentencia dictada, pese a que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199/2013, de 5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fecha 30 de enero de 2014 dictada en el recurso de amparo avocado núm. 10619-2006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los hechos enjuiciados en la Sentencia recurrida en amparo merecen el más drástico reproche y generaron sin duda notable alarma social, con las obligadas consecuencias en el plano de la legalidad penal, lamento constatar que desde el plano constitucional se aprecian circunstancias similares a las que me llevaron a formular Voto particular en relación a la reciente Sentencia 199/2013, de 5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