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13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Dal-Re, don Juan José González Rivas, don Santiago Martinez-Vares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6922-2008, promovido por don Stefano Melloni, representado por la Procuradora de los Tribunales doña Paloma Rubio Peláez y bajo la dirección del Abogado don Luis Casaubón Carles, contra el Auto de la Sección Primera de la Sala de lo Penal de la Audiencia Nacional, de 12 de septiembre de 2008, recaído en el rollo de Sala núm. 373-2008, que acordó la entrega del recurrente a las autoridades italianas para el cumplimiento de condena dictada por el Tribunal de Apelación de Bolonia, en el marco de la orden europea de detención y entrega núm. 157-2008.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17 de septiembre de 2008, la Procuradora de los Tribunales doña Paloma Rubio Peláez, en nombre y representación de don Stefano Melloni y bajo la dirección letrada del Abogado don Luis Casaubón Carles, interpuso recurso de amparo contra el Auto de la Sección Primera de la Sala de lo Penal de la Audiencia Nacional, de 12 de septiembre de 2008, por el que se autorizó la entrega del demandante de amparo a las autoridades italianas para el cumplimiento de una condena impuesta por el Tribunal de Ferrara en el marco de la orden europea de detención y entrega núm. 157-2008.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este recurso de amparo son, en esencia,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Primera de la Sala de lo Penal de la Audiencia Nacional declaró procedente, por Auto de 1 de octubre de 1996, la extradición a Italia de don Stefano Melloni, con la finalidad de que fuera juzgado por los hechos que se recogían en las órdenes de detención núm. 554-1993 y 444-1993 emitidas, respectivamente, el 13 de mayo y el 15 de junio de 1993, por el Tribunal de Ferrara. En esa resolución consta que en la preceptiva comparecencia ante el órgano judicial, el reclamado se opuso a la extradición “porque nunca pensó que las irregularidades fuesen de carácter penal sino que creyó que se trataba de una crisis económica con responsabilidades exclusivamente civiles, manifestando que para el supuesto que se le dejara en libertad, se comprometía a regresar voluntariamente a su país y rendir ante la justicia italiana todas las cuentas que se le solicitasen”. También resulta de esa misma resolución que por Auto del Juzgado Central de Instrucción núm. 1 de 29 de abril de 1996, se acordó su libertad bajo fianza de 5.000.000 de pesetas, que prestó al día siguiente. De resoluciones posteriores que obran en autos se deriva que el recurrente se dio a la fuga, de modo que no llegó a ser entregado a Italia.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decreto de 27 de marzo de 1997, el Tribunal de Ferrara declaró el estado de rebeldía del demandante de amparo, toda vez que había huido de la justicia, y acordó que las notificaciones fueran efectuadas en lo sucesivo a los Abogados de su confianza que éste ya había designado. Por Sentencia de 21 de junio de 2000 del Tribunal de Ferrara, posteriormente confirmada por Sentencia de 14 de marzo de 2003 del Tribunal de Apelación de Bolonia, el demandante fue condenado en rebeldía como autor de un delito de quiebra fraudulenta a la pena de diez años de prisión. En las dos instancias intervinieron los Letrados de su confianza don Vittorio Rossi —del Colegio de Módena— y don Bruno Senatore —del Colegio de Milán—, a quienes en esa condición se les notificaron, por lo que aquí interesa, el Decreto por el que se acordó la apertura del juicio oral previo a la condena por el Tribunal de Ferrara, así como la orden europea de detención y entrega núm. 271-2004, dictada el 8 de junio de 2004 por la Fiscalía General de la República ante el Tribunal de Apelación de Bolonia, a resultas de la cual se inició el procedimiento que se encuentra en el origen de este proceso constitucional. Mediante Sentencia de 7 de junio de 2004, la Sección Penal Quinta de la Corte Suprema de Casación rechazó el recurso presentado por los Abogados del demandante, don Vittorio Rossi, don Bruno Senatore y don Luciano Teneggni.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raíz de su detención por la policía española, el 1 de agosto de 2008, el Juzgado Central de Instrucción núm. 6 incoó el procedimiento de orden de detención y entrega núm. 157-2008, en relación con la orden europea de detención núm. 271-2004, expedida por la Fiscalía General de la República ante el Tribunal de Apelación de Bolonia para el cumplimiento de la condena que había sido impuesta por el Tribunal de Ferrara. Mediante Auto de 2 de agosto de 2008, el mismo Juzgado acordó elevar la orden europea de detención y entrega a la Sección Primera de la Sala de lo Penal de la Audiencia Nacional. El recurrente se opuso a la entrega aduciendo, en primer lugar, que en la fase de apelación había designado otro Abogado, revocando el nombramiento de los dos anteriores, a pesar de lo cual se les continuó dirigiendo a ellos las notificaciones. En segundo lugar, alegó que la ley procesal de Italia no establece la posibilidad de recurrir las condenas dictadas en ausencia, por lo que la orden europea de detención y entrega debería, en su caso, condicionarse a que Italia garantizase un recurso contra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Primera de la Sala de lo Penal de la Audiencia Nacional, mediante el Auto de 12 de septiembre de 2008, impugnado en este recurso de amparo, acordó la entrega del recurrente a las autoridades italianas para el cumplimiento de la condena que le fue impuesta por el Tribunal de Ferrara, como autor de un delito de quiebra fraudulenta. En primer lugar, la Audiencia Nacional no considera acreditado que los Abogados a los que el recurrente había designado hubieran dejado de representarle a partir de 2001. Según el Auto impugnado, esa alegación es contradicha por la autoridad de emisión en un informe complementario requerido a la Fiscalía General de la República. En segundo lugar, la Audiencia Nacional también rechaza la alegación de falta de defensa a partir de la información que consta en la orden de entrega y en la propia documentación aportada por el reclamado, de la que se deriva que el reclamado era conocedor de la futura celebración del juicio, se situó voluntariamente en rebeldía y designó dos Abogados de su confianza para su representación y defensa, los cuales intervinieron, en esa calidad, en la primera instancia, en la apelación y en la casación, agotando así las vías de recurso. A la vista de todo ello, la Audiencia Nacional concluye que, en un caso como el del litigio principal, “la condena en rebeldía y la celebración del juicio en ausencia del acusado no fueron desproporcionados, precisamente porque había sido defendido técnicamente y había renunciado a la defensa personal poniéndose en rebeldía”, de tal manera que “no puede afirmarse que el reclamado sufriera indefensión en el proceso y no procede interesar de las autoridades de emisión garantías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demandante de amparo solicitó la nulidad de las actuaciones —cumpliendo así el requisito de admisión de este recurso de amparo consistente en agotar la vía judicial previa— y la Sección Primera de la Sala de lo Penal de la Audiencia Nacional rechazó su petición, mediante providencia de 16 de septiembre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lesión del derecho a un proceso con todas las garantías reconocido en el art. 24.2 de la Constitución española (en adelante, CE). Alega que el Auto recurrido “constituye una vulneración indirecta de las exigencias absolutas dimanantes del derecho proclamado en el mencionado art. 24.2 CE, al menoscabar el contenido esencial del proceso justo de una manera que afecta a la dignidad humana pues acceder a la extradición a países que, en caso de delito muy grave, den validez a las condenas en ausencia, sin someter la entrega a la condición de que el condenado pueda impugnarlas para salvaguardar sus derechos de defensa, constituye una vulneración del derecho a un proceso con todas las garantías”. El recurrente también sostiene que su recurso tiene especial trascendencia constitucional, porque el Auto impugnado se habría separado de la consolidada doctrina de este Tribunal, conforme a la cual, en el caso de las condenas por delitos graves impuestas en ausencia del acusado, la entrega ha de condicionarse a la posibilidad de revisión de la Sentencia, citando al efecto las SSTC 91/2000, de 30 de marzo, y 177/2006,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18 de septiembre de 2008, la Sección Primera de este Tribunal acordó admitir a trámite la demanda y, a tenor de lo dispuesto en el art. 56.6 de la Ley Orgánica 2/1979, de 3 de octubre, del Tribunal Constitucional (en adelante, LOTC), suspender la ejecución del Auto de 12 de septiembre de 2008 dictado por la Sección Primera de la Sala de lo Penal de la Audiencia Nacional. El recurrente, que aún no ha sido entregado a las autoridades italianas, se encuentra actualmente en situación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2008, se acordó dar vista de las actuaciones,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evacuó el trámite de alegaciones mediante escrito registrado en este Tribunal con fecha de 21 de noviembre de 2008, en el que concluía interesando la denegación del amparo por entender que no se había vulnerado el derecho del actor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conforme a la doctrina sentada por la STC 91/2000, la Constitución no proscribe la condena en ausencia, ni tan siquiera en los supuestos de delito grave, sino que sólo la supedita a que exista la posibilidad de una impugnación posterior. Es por ello, que, en consecuencia, desde las SSTC 120/2002 y 160/2002 o, ya con relación a la orden europea de detención, desde la STC 177/2006, ningún reproche cabe dirigir frente a aquella resolución en la que se recoja la posibilidad de impugnación de la condena. Al respecto, pone de manifiesto que la posibilidad de impugnación de la condena aparece recogida en el artículo 175 del Código procesal de la República Italiana, habiendo señalado el Tribunal Constitucional la irrelevancia para el hecho invocado, consistente en que tal posibilidad de impugnación se exceptúe en el caso de que el imputado haya renunciado voluntariamente a comparecer al juicio, pues ello no supondría merma de su derecho a la defensa, al haber tenido conocimiento del proceso como lo acredita la designación de su representante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no cabe aducir indefensión material cuando quien la denuncia no ha observado la debida diligencia en la defensa de sus derechos, según se deriva de las actuaciones. Así lo estimó la Sección Primera de la Sala de lo Penal de la Audiencia Nacional, que consideró que la falta de diligencia del acusado a no comparecer voluntariamente para ser juzgado se convirtió en elemento determinante para entender innecesario proveer al acusado de nuevas garantías, pues fue su propia determinación de ocultarse a la Justicia la que ahora no puede servirle de excusa para invocar posteriormente el hecho en sí de su inasistencia a la vista. En relación con ello, y en referencia al alegato del demandante relativo a la revocación del nombramiento de los Letrados designados, el Fiscal considera que el citado órgano judicial da una acabada explicación de por qué no toma en consideración los documentos aportados por el recurrente para justificar sus argumentos, y sí los remitidos directamente por el Procurador General de la República Italiana, según los cuales el actor habría designado por su propia iniciativa a los Abogados Vittorio Rossi y Bruno Senatore, y no se habría producido la supuesta revocación que invoca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evacuó trámite de alegaciones, mediante escrito presentado el 12 de noviembre de 2008, en el que indicaba que el demandante no fue informado del lugar y fecha de celebración de la vista, y que no llegó a ser entregado a Italia para ser Juzgado. Además de reiterar sustancialmente los argumentos formulados en su demanda de amparo, esto es, que debió condicionarse la entrega a la posibilidad de revisión de la condena, añade que, si bien es cierto que ni la Decisión Marco del Consejo, relativa a la orden europea de detención y entrega, ni la Ley 3/2003 que la traspone, establecen la mencionada exigencia como condición sine qua non para que pueda el Estado de ejecución proceder a la entrega solicitada, ello no significa que pueda ignorarse la exigencia derivada del contenido esencial del derecho fundamental a un proceso, en este caso extradicional, con todas las garantías. Por último, refiere que el art. 5 de la Decisión Marco prevé la posibilidad de imponer la condición de un nuevo proceso en tales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marzo de 2011, el Pleno acordó, a propuesta de la Sala Primera y de conformidad con el art. 10.1 n) LOTC,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31 de marzo de 2011, el Pleno acordó oír al recurrente y al Ministerio Fiscal para que, en el plazo común de diez días, presentaran las alegaciones que consideran convenientes en relación con el posible planteamiento ante el Tribunal de Justicia de la Unión Europea de una cuestión prejudicial, lo que efectivamente hicieron mediante escritos presentados, en ambos casos, el 18 de abril de 2011. El Ministerio Fiscal, a diferencia del recurrente, se opuso a la promoción de la cuestión prejudicial porque, a su juicio, la Decisión Marco 2009/299/JAI, del Consejo, de 26 de febrero, no resultaría aplicable ratione temporis al litigio que ha dado lugar al presente recurso de amparo y ello haría innecesaria para su resolución por parte de este Tribunal la decisión prejudicial del Tribunal de Justicia en relación con las dudas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Constitución, por Auto de 9 de junio de 2011, acordó suspender la tramitación del presente recurso de amparo y plantear al Tribunal de Justica las siguientes cuestiones prejudiciales: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“1ª. El Art. 4 bis, apartado 1, de la Decisión Marco 2002/584/JAI, en su redacción vigente dada por Decisión Marco 2009/299/JAI, ¿debe interpretarse en el sentido de que impide a las autoridades judiciales nacionales, en los supuestos precisados en esa misma disposición, someter la ejecución de una orden europea de detención y entrega a la condición de que la condena en cuestión pueda ser revisada para garantizar los derechos de defensa del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2ª. En caso de que la primera cuestión se responda afirmativamente, ¿es compatible el artículo 4 bis, apartado 1, de la Decisión marco 2002/584/JAI, con las exigencias que se derivan del derecho a la tutela judicial efectiva y a un proceso equitativo previsto en el artículo 47, así como de los derechos de la defensa garantizados en el artículo 48, apartado 2 de la Carta de los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3ª. En el caso de que la segunda cuestión se responda afirmativamente, ¿permite el artículo 53, interpretado sistemáticamente en relación con los derechos reconocidos en los artículos 47 y 48 de la Carta, a un Estado miembro condicionar la entrega de una persona condenada en ausencia a que la condena pueda ser sometida a revisión en el Estado requirente, otorgando así a esos derechos un mayor nivel de protección que el que se deriva del Derecho de la Unión Europea, a fin de evitar una interpretación limitativa o lesiva de un derecho fundamental reconocido por la Constitución de ese Estado miembro?”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Tribunal de Justicia de la Unión Europea (Gran Sala), por Sentencia de 26 de febrero de 2013, en contestación a las cuestiones prejudiciales planteadas,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artículo 4 bis, apartado 1, de la Decisión marco 2002/584/JAI del Consejo, de 13 de junio de 2002, relativa a la orden de detención europea y a los procedimientos de entrega entre Estados miembros, en su versión modificada por la Decisión marco 2009/299/JAI del Consejo, de 26 de febrero de 2009, debe interpretarse en el sentido de que se opone a que, en los supuestos previstos en esa disposición, la autoridad judicial de ejecución de una orden de detención europea emitida para el cumplimiento de una pena a la condición de que la condena impuesta en rebeldía pueda ser revisada en el Estado miembro[s] emisor.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artículo 4 bis, apartado 1, de la Decisión marco 2002/584, en su versión modificada por la Decisión marco 2009/299, es compatible con las exigencias derivadas de los artículos 47 y 48, apartado 2, de la Carta de los Derechos Fundamentales de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artículo 53 de la Carta de los Derechos Fundamentales de la Unión Europea debe interpretarse en el sentido de que no permite que un Estado miembro subordine la entrega de una persona condenada en rebeldía a la condición de que la condena pueda ser revisada en el Estado miembro emisor, para evitar una vulneración del derecho a un proceso con todas las garantías y de los derechos de la defensa protegidos por su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febrero de 2014,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impugna el Auto de la Sección Primera de la Sala de lo Penal de la Audiencia Nacional, de 12 de septiembre de 2008, que acordó la entrega del recurrente a las autoridades italianas para cumplimiento del resto de la condena a diez años de prisión, impuesta por delito de quiebra fraudulenta. El recurso se fundamenta en la vulneración del derecho a un proceso con todas las garantías (art. 24.2 CE), al haber accedido la resolución recurrida a la entrega del demandante a Italia, país que da validez a las condenas en ausencia, sin someter la entrega a la condición de que aquel pueda impugnar la condena por un delito muy grave para salvaguardar sus derechos de defensa, tal como exige la doctrina del Tribunal Constitucional sobre las vulneraciones indirectas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denegación del amparo al entender, por los motivos expuestos en los antecedentes, que no se había producido vulneración del derecho del actor a un proceso con todas las garantías al no haberse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comenzar poniendo de manifiesto que, como ha quedado expuesto en los antecedentes, este Tribunal reconociéndose como “órgano jurisdiccional” en el sentido de lo dispuesto en el art. 267 del Tratado de funcionamiento de la Unión Europea [ATC 86/2011, de 9 de junio, FJ 4 e)], planteó al Tribunal de Justicia de la Unión Europea tres cuestiones prejudiciales —dos de interpretación y una de validez— en relación con el art. 4.bis, apartado 1, de la Decisión Marco 2002, posteriormente modificada por la Decisión Marco 2009/299, del Consejo, de 26 de febrero (en adelante, Decisión Marco 2009). Entre otras razones, y como poníamos de manifiesto en el ATC 86/2011, de 9 de junio, porque “el canon de control que debemos aplicar para enjuiciar la constitucionalidad del Auto de la Sección Primera de la Sala de lo Penal de la Audiencia Nacional de 12 de septiembre de 2008, por el que se autorizó la entrega del demandante de amparo a las autoridades italianas, ha de ser integrado a partir, entre otras, de las normas de Derecho de la Unión Europea que protegen los correspondientes derechos fundamentales, así como de las que regulan la orden europea de detención y entrega, de donde deriva claramente la trascendencia constitucional de la interpretación que haya de darse a esas disposiciones del Derecho de la Unión” [FJ 4 b)]. Tal como destacamos “el Derecho de la Unión Europea opera como un instrumento que permite delimitar la parte del contenido de ese derecho que despliega eficacia ad extra, esto es, las facultades y garantías cuyo desconocimiento por las autoridades extranjeras puede dar lugar a una vulneración indirecta en caso de que acuerde la entrega sin condicionamiento” [FJ 4 c)]. Así en el auto de planteamiento de la cuestión destacábamos que el Tribunal de Justicia de la Unión Europea todavía no se había pronunciado “acerca del sentido específico de los arts. 47.II y 48.2 de la CDFUE [Carta de los derechos fundamentales de la Unión Europea] y su correspondiente proyección sobre las Sentencias de condena impuestas en ausencia por delitos muy graves [FJ 6 d)]”. Tampoco acerca del contenido del art. 53 CDFUE “de cara a la clarificación del alcance y la función del sistema de protección de los derechos fundamentales de la Unión Europea, así como su articulación con respecto a las declaraciones de derechos contenidas en las Constituciones de los Estados miembros” (FJ 7). Dichas cuestiones prejudiciales han obtenido su respuesta, reproducida en los antecedentes, en la Sentencia del Tribunal de Justicia de la Unión Europea de 26 de febrero de 2013, C-399/11, asunto Melloni, dictada por la Gran Sala. Respuesta que nos será de gran utilidad a la hora de determinar aquel contenido del derecho a un proceso con todas las garantías (art. 24.2 CE) que despliega eficacia ad extra.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 la determinación de aquel contenido del derecho a un proceso con todas las garantías que despliega tal eficacia ad extra, debemos, sin embargo, completar la respuesta del Tribunal de Justicia con la doctrina establecida en su día por este Tribunal en la DTC 1/2004,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aquella ocasión, señalamos, en primer lugar, que “la cesión constitucional que el art. 93 CE posibilita tiene a su vez límites materiales que se imponen a la propia cesión. Esos límites materiales, no recogidos expresamente en el precepto constitucional, pero que implícitamente se derivan de la Constitución y del sentido esencial del propio precepto, se traducen en el respeto de la soberanía del Estado, de nuestras estructuras constitucionales básicas y del sistema valores y principios fundamentales consagrados en nuestra Constitución, en el que los derechos fundamentales adquieren sustantividad propia (art. 10.1 CE)” [DTC 1/2004,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destacamos que la primacía del Derecho de la Unión Europea jurisdiccionalmente proclamada opera respecto de un Ordenamiento, el europeo, que se construye sobre los valores comunes de las Constituciones de los Estados integrados en la Unión y de sus tradiciones constitucionales, lo que nos llevó a subrayar que es el propio Derecho de la Unión el que garantizaría, a través de una serie de mecanismos previstos en los Tratados, el presupuesto para la aplicación de su primacía, que no es otro que el respeto de las estructuras constitucionales básicas nacionales entre las que se encuentran los derechos fundamentales (en la DTC 1/2004,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nos permitió declarar que “producida la integración debe destacarse que la Constitución no es ya el marco de validez de las normas comunitarias, sino el propio Tratado cuya celebración instrumenta la operación soberana de cesión del ejercicio de competencias derivadas de aquélla, si bien la Constitución exige que el Ordenamiento aceptado como consecuencia de la cesión sea compatible con sus principios y valores básicos” (DTC 1/2004,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le corresponde, por tanto, a este Tribunal realizar un control de validez del derecho adoptado por las instituciones de la Unión, control que debe realizar, en todo caso, el Tribunal de Justicia al resolver, entre otros procesos, las cuestiones prejudiciales de validez que, en su caso, se le planteen. Es fundamentalmente a través de éstas, así como de las cuestiones prejudiciales de interpretación, como se le ofrece al Tribunal de Justicia la oportunidad de garantizar y salvaguardar de manera efectiva un alto nivel de protección de los derechos fundamentales contenidos en la Carta de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este Tribunal igualmente consideró que “en el caso difícilmente concebible de que en la ulterior dinámica del Derecho de la Unión Europea llegase a resultar inconciliable este Derecho con la Constitución española, sin que los hipotéticos excesos del Derecho europeo respecto de la propia Constitución europea [léase hoy el propio Derecho Originario] fueran remediados por los ordinarios cauces previstos en ést[e], en última instancia la conservación de la soberanía del pueblo español y de la supremacía de la Constitución que éste se ha dado podrían llevar a este Tribunal a abordar los problemas que en tal caso se suscitaran, que desde la perspectiva actual se consideran inexistentes, a través de los procedimientos constitucionales pertinentes” (DTC 1/2004,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las consideraciones expuestas, para la resolución del presente recurso de amparo conviene recordar la doctrina de este Tribunal en relación con lo que hemos denominado vulneraciones indirectas de los derechos fundamentales y su aplicación concreta al ámbito del derecho fundamental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cuando los poderes públicos nacionales (entre ellos, la jurisdicción) reconocen, homologan o dan validez a una resolución adoptada por una autoridad extranjera, pueden incurrir en una vulneración “indirecta” de alguno de los derechos fundamentales susceptibles de amparo, cuando aquella resolución pudiera reputarse lesiva de un derecho fundamental. Sin embargo, para el Tribunal Constitucional, mientras que los poderes públicos españoles se hallan vinculados de modo incondicionado ad intra por los derechos fundamentales, tal y como éstos han sido consagrados por la Constitución, el contenido vinculante de los derechos fundamentales cuando se proyectan ad extra es más reducido. Así, en el ámbito del derecho a un proceso con todas las garantías, no son todas y cada una de las garantías que hemos anudado al art. 24 CE, sino tan sólo sus exigencias más básicas o elementales, las exigencias que constituyen la esencia misma del proceso justo, las que pueden proyectarse en la valoración de la actuación de los poderes públicos extranjeros, determinando, en su caso, la inconstitucionalidad “indirecta” de la actuación de la jurisdicción española que es la que, propiamente constituye el objeto de nuestro control (STC 91/2000, de 30 de marzo,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ya citada STC 91/2000, de 30 de marzo, llegamos a la conclusión de que constituye una vulneración “indirecta” de las exigencias dimanantes del derecho proclamado en el art. 24.2 CE que se proyectan ad extra, la decisión de los órganos judiciales españoles de acceder a la extradición a países que, en casos de delito muy grave, den validez a las condenas en ausencia sin someter la entrega a la condición de que el condenado pueda impugnarlas para salvaguardar sus derechos de defensa, pues consideramos que ello menoscababa el contenido esencial del proceso justo de un modo que afectaba a la dignidad humana (STC 91/2000, de 30 de marzo,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decisiones posteriores (SSTC 177/2006, de 5 de junio, o 199/2009, de 28 de septiembre) declaramos que esta doctrina sobre las violaciones indirectas del derecho a un proceso con todas las garantías era también aplicable en el marco del sistema de entrega instaurado en la Unión Europea, que sustituye al procedimiento de extradición establecido en el Convenio europeo de extradición de 1957, en cumplimiento de la Decisión Marco 2002/584/JAI, del Consejo, de 13 de junio, y que ha sido incorporado a nuestro ordenamiento interno por la Ley 3/2003, de 14 de marzo, sobre la orden europea de detención y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una vez recordada la doctrina de este Tribunal en relación con las vulneraciones indirectas de los derechos fundamentales y su concreta aplicación al ámbito del derecho fundamental a un juicio justo, debemos proceder a revisar la caracterización que este Tribunal ha venido realizando hasta ahora del denominado contenido absoluto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para precisar cuáles son, en concreto, los derechos, facultades o facetas contenidas en el correspondiente contenido absoluto de un derecho fundamental cuya lesión determina una vulneración indirecta de aquel por parte de los poderes públicos españoles, hemos destacado la decisiva relevancia que adquieren los tratados y acuerdos internacionales sobre protección de los derechos fundamentales y las libertades públicas ratificados por España (STC 91/2000, de 30 de marzo, FJ 7). Con ello este Tribunal afirma la coincidencia del sistema de valores constitucional con el ámbito de valores e intereses que dichos instrumentos protegen y nos permite, así, determinar cuáles son, entre todas, aquellas exigencias más básicas o elementales que pueden proyectarse en la valoración de la actuación de los poderes públicos extranjeros, determinando, en su caso, la inconstitucionalidad “indirecta” de la actuación de la jurisdicción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virtud de la doctrina constitucional relativa a las vulneraciones indirectas del derecho a la defensa y a un proceso con todas las garantías (art. 24.2 CE), el canon de control que debemos aplicar para enjuiciar la constitucionalidad del Auto de la Sección Primera de la Sala de lo Penal de la Audiencia Nacional de 12 de septiembre de 2008, por el que se autorizó la entrega del demandante de amparo a las autoridades italianas, ha de ser integrado por los tratados y acuerdos internacionales sobre protección de los derechos fundamentales y las libertades públicas ratificados por España. Entre tales tratados encontramos tanto el Convenio europeo para la protección de los derechos humanos y libertades fundamentales (CEDH) como la Carta de los derechos fundamentales de la Unión Europea, que se constituyen, así, junto con la interpretación que de los mismos llevan a cabo los órganos de garantía establecidos por esos mismos tratados y acuerdos internacionales, en elementos esenciales a la hora de interpretar el contenido absoluto del derecho reconocido en el art. 24.2 CE. Contenido cuyo desconocimiento determina la vulneración indirecta del derecho fundamental por parte de los órganos judiciales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examinar, por tanto, la interpretación que el Tribunal Europeo de Derechos Humanos y el Tribunal de Justicia de la Unión Europea han realizado del contenido del derecho a un proceso equitativo recogido tanto en el Convenio europeo para la protección de los derechos humanos y libertades fundamentales como en la Carta de los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entendido incluido dentro del derecho a un proceso equitativo recogido en el artículo 6 del Convenio europeo para la protección de los derechos humanos y libertades fundamentales, el derecho de las personas condenadas en rebeldía a que un tribunal se pronuncie de nuevo sobre el fondo del asunto tras oír al acusado. Sin embargo, la inclusión de tal derecho dentro del recogido en el art. 6 CEDH se ha condicionado por la doctrina del Tribunal Europeo de Derechos Humanos a que estas personas, cuando hayan sido informadas de manera efectiva de las diligencias, no hayan renunciado de manera inequívoca a su derecho a comparecer [STEDH caso Sejdovic c. Italia, de 1 de marzo de 2006, §§ 82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doctrina del Tribunal Europeo de Derechos Humano ha reconocido que la presencia del acusado en el juicio es un derecho básico de éste, pero no se infringe el art. 6 CEDH cuando el acusado, debidamente emplazado, decida libremente renunciar a su presencia en el juicio, y siempre que cuente durante el mismo con la asistencia de Abogado para la defensa de sus intereses, pues de acuerdo con el Tribunal Europeo de Derechos Humanos “el hecho de que un acusado, a pesar de haber sido debidamente citado, no comparezca, no puede, incluso aunque tal ausencia resulte injustificada, privarle de su derecho a ser defendido mediante un letrado” (STEDH caso Pelladoah c. Países Bajos, de 22 de septiembre de 1994, § 40; y en el mismo sentido, SSTEDH caso Poitrimol c. Francia, de 23 de noviembre de 1993, § 35; caso Lala c. Países Bajos, de 22 de septiembre de 1994, § 33; caso Van Geyseghem c. Bélgica, de 21 de enero de 1999, §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de Justicia de la Unión Europea ha afirmado que “en lo que atañe al alcance del derecho a la tutela judicial efectiva y a un proceso equitativo previsto en el artículo 47 de la Carta y de los derechos de la defensa garantizados por el artículo 48, apartado 2, de ésta, se ha de precisar que, aunque el derecho del acusado a comparecer en el juicio constituye un elemento esencial del derecho a un proceso equitativo, aquel derecho no es absoluto (véase, en particular, la Sentencia de 6 de septiembre de 2012, Trade Agency, C-619/10, Rec. p. I-0000, apartados 52 y 55). El acusado puede renunciar a ese derecho por su libre voluntad, expresa o tácitamente, siempre que la renuncia conste de forma inequívoca, se acompañe de garantías mínimas correspondientes a su gravedad y no se oponga a ningún interés público relevante. Más concretamente, no se produce una vulneración del derecho a un proceso equitativo, aun si el interesado no ha comparecido en el juicio, cuando haya sido informado de la fecha y del lugar del juicio o haya sido defendido por un letrado al que haya conferido mandato a ese efecto” [Sentencia del Tribunal de Justicia de la Unión Europea de 26 de febrero de 2013, C-399/11, asunto Melloni, apartado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tanto la interpretación dada por el Tribunal Europeo de Derechos Humanos del derecho a un proceso equitativo recogido en el artículo 6 del Convenio europeo como la realizada por el Tribunal de Justicia de la Unión Europea de los derechos a la tutela judicial efectiva, a un proceso equitativo y de defensa recogidos en los arts. 47 y 48.2 de la Carta, coincidentes en buena medida, operan, en el caso que nos ocupa, como criterios hermenéuticos que nos permiten delimitar la parte de lo que hemos denominado contenido absoluto del derecho a un proceso con todas las garantías, que es la que despliega eficacia ad extra; esto es, la que permite delimitar aquellas facultades y garantías cuyo desconocimiento por las autoridades extranjeras puede dar lugar a una vulneración indirecta en caso de que acuerde la entrega por los poderes públicos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debemos afirmar ahora, revisando, por tanto, la doctrina establecida desde la STC 91/2000, que no vulnera el contenido absoluto del derecho a un proceso con todas las garantías (art. 24.2 CE) la imposición de una condena sin la comparecencia del acusado y sin la posibilidad ulterior de subsanar su falta de presencia en el proceso penal seguido, cuando la falta de comparecencia en el acto del juicio conste que ha sido decidida de forma voluntaria e inequívoca por un acusado debidamente emplazado y éste ha sido efectivamente defendido por Letrado designado.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ello nos debe conducir derechamente a la desestimación del presente recurso de amparo, pues el órgano judicial, en aplicación del art. 12 de la Ley 3/2003, de 14 de marzo, estimó que no se había producido ninguno de los supuestos que pudieran obstaculizar la entrega del condenado en ausencia al Estado italiano, lo que hacía, a su juicio, improcedente exigir de las autoridades de emisión garantías adicionales. A dicha conclusión llegó como consecuencia del conocimiento de toda una serie de documentos (el informe complementario requerido a la Fiscalía General de la República Italiana, la orden de entrega y la propia documentación aportada por el reclamado) que le llevaron a apreciar, por un lado, no acreditado que los Abogados que el recurrente había designado hubieran dejado de representarle a partir de 2001; y, por otro, que no se produjo falta de defensa, dado que el reclamado era conocedor de la futura celebración del juicio, situándose voluntariamente en rebeldía, y designó dos Abogados de su confianza para su representación y defensa, los cuales intervinieron, en esa calidad, en la primera instancia, en la apelación y en la casación, agotando así las vías de recurso. A la vista de todo ello, la decisión de la Audiencia Nacional de entregar al recurrente a la autoridades italianas sin condicionamiento alguno, no supone una vulneración indirecta del derecho a un proceso con todas las garantías, puesto que ha quedado acreditado que el acusado había sido defendido técnicamente y había renunciado voluntariamente a comparecer.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y dado que lo que se dirime en el presente recurso es si la resolución de entrega constituye o no una vulneración “indirecta” del derecho a un proceso con todas las garantías (art. 24.2 CE), procede la denegación del presente recurso de amparo por cuanto la Sección Primera de la Sala de lo Penal de la Audiencia Nacional, con su Auto de fecha de 12 de septiembre de 2008, decidió la entrega de don Stefano Melloni sin vulneración de las exigencias derivadas del contenido absoluto del derecho referido.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Magistrada doña Adela Asua Batarrita a la Sentencia dictada en el recurso de amparo núm. 6922-2008,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expreso mi discrepancia con la fundamentación jurídica de la Sentencia, en virtud de los argumentos que defendí en la deliberación de la Sala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Quiero subrayar que mi discrepancia no se refiere a la desestimación del recurso de amparo, criterio que comparto plenamente, sino a su fundamentación jurídica, tanto por lo que dice y hace como por lo que no dice. Comenzaré exponiendo lo que, a mi juicio, esquiva y omite la Sentencia (1) para, después, expresar las razones de mi desacuerdo con las implicaciones de lo que sí dice (2) y, finalmente, concretar mi discrepancia con lo que hace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la Sentencia que resuelve el presente recurso de amparo le antecedió, como es sabido, el planteamiento de nuestra primera cuestión prejudicial ante el Tribunal de Justicia de la Unión Europea. Ese planteamiento constituyó un hito en la historia de este Tribunal, al que le han seguido posteriormente el de otros tribunales constitucionales europeos. No puede sino celebrarse el diálogo directo entre el Tribunal de Justicia y los tribunales constitucionales nacionales, pues a través de ese diálogo se dará cuerpo progresivamente a un constitucionalismo europeo compartido. Además, la Sentencia del Tribunal de Justicia de 26 de febrero de 2013 que dio respuesta a nuestra cuestión prejudicial encierra aspectos cruciales para la futura articulación de los sistemas de protección de los derechos fundamentales en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considero que la presente Sentencia proporcionaba una excelente ocasión para, continuando con ese diálogo, precisar la relevancia de los derechos fundamentales reconocidos en la Unión no solo en el ámbito de aplicación de nuestra Constitución sino también para la propia función jurisdiccional de este Tribunal como garante de la supremacía de esa Constitución, que se superpone parcialmente a la jurisdicción que el Tribunal de Justicia ejerce en materia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Recordemos que nuestro ATC 86/2011, de 9 de junio, había justificado el planteamiento de la cuestión de interpretación relativa al art. 53 de la Carta en que el Tribunal de Justicia no se había pronunciado todavía acerca de su sentido y en que dicha disposición era “verdaderamente capital de cara a la clarificación del alcance y la función del sistema de protección de los derechos fundamentales de la Unión Europea, así como su articulación con respecto a las declaraciones de derechos contenidas en las Constituciones de los Estados miembros”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aprobada por la mayoría esquiva estas cuestiones centrales y, en su lugar, se alinea con nuestra jurisprudencia precedente, que venía reiterando que el Derecho comunitario no integra el canon de constitucionalidad, que este Tribunal no tiene como misión garantizar la aplicación del Derecho comunitario, y que el Derecho comunitario solo sería relevante desde la perspectiva del art. 10.2 CE, esto es, en relación con la interpretación del alcance de los derechos fundamentales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la Sentencia de la mayoría desaprovecha la ocasión de reflexionar y reflejar las importantes transformaciones que la pertenencia a la Unión Europea ocasiona a nuestra función jurisdiccional y a los procesos constitucionales por medio de los cuales se realiza la preeminencia de la Constitución. En particular, no aborda las implicaciones que pueden tener las consideraciones que el Tribunal de Justicia realiza en la Sentencia de 26 de febrero de 2013 acerca del sentido del art. 53 de la Carta para las relaciones entre el ordenamiento estatal y el de la Unión y para las relaciones entre los respectivos órganos supremos de garantía.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realizar la necesaria reflexión en este sentido, este Tribunal tendría que haber comenzado por situar la Sentencia Melloni en el contexto más amplio de la jurisprudencia reciente del Tribunal de Justicia, considerando otros importantes pronunciamientos como, por ejemplo, la otra Sentencia dictada por la Gran Sala el mismo día 26 de febrero de 2013 en el asunto Åkerberg Fransson o la posterior Sentencia de 30 de mayo de 2013 dictada en respuesta a una cuestión prejudicial promovida por el Consejo Constitucional francés en un asunto también referido a la orden europea de detención y entrega, pero sobre una cuestión no plenamente armonizada.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Por otra parte, considero que las referencias que se contienen en el fundamento jurídico 3 son totalmente innecesarias para resolver el recurso de amparo y resultan incoherentes a la luz de la resolución finalmente adoptada.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2 de la Sentencia recuerda los términos de las cuestiones prejudiciales planteadas por nuestro ATC 86/2011 así como la respuesta que nos proporcionó el Tribunal de Justicia en su Sentencia de 26 de febrero de 2013. Pues bien, inmediatamente después, el fundamento jurídico 3 comienza señalando que, antes de proceder a la determinación del contenido absoluto del derecho fundamental alegado por el demandante de amparo, “debemos, sin embargo, completar la respuesta del Tribunal de Justicia con la doctrina establecida en su día por este Tribunal en la DTC 1/2004, de 13 de diciembre”. No entiendo que este Tribunal pueda o tenga que “completar” las Sentencias que el Tribunal de Justicia adopta en vía prejudicial a instancia nuestra o de otro órgano jurisdiccional de la Unión. A continuación el fundamento jurídico 3 realiza diversas afirmaciones genéricas sin aportar una explicación precisa de su finalidad o utilidad en el marco del presente amparo, pero me preocupa que, por su contenido, ubicación y tono, el fundamento jurídico 3 se interprete como una implícita resistencia a asumir la Sentencia del Tribunal de Justicia de 26 de febrero de 2013, en concreto a la respuesta dada a nuestra tercera pregunta.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su respuesta a nuestra tercera cuestión prejudicial, el Tribunal de Justicia ha aclarado que el art. 53 de la Carta no permite que España aplique un nivel de protección más alto que el de la Carta en una materia —la orden europea de detención y entrega— en la que existen normas comunes europeas. De esta forma (y así se plasma en la fundamentación de la Sentencia), el Tribunal de Justicia rechaza rotundamente la interpretación que acompaña a nuestra pregunta y que nuestro Auto favorecía: el art. 53 de la Carta no autoriza a los Estados miembros a aplicar, en el ámbito de aplicación de la Carta (que es el ámbito de aplicación del Derecho de la Unión), un nivel de protección más elevado.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sabido que la DTC 1/2004 de este Tribunal, sobre la compatibilidad de la ratificación del Tratado Constitucional con la Constitución española, adujo para sustentar la compatibilidad de la Carta de derechos fundamentales con la Constitución española, entre otros argumentos, una interpretación del art. 53 de la Carta que ahora ha sido rechazada categóricamente por el Tribunal de Justicia. La Sentencia de la mayoría, por tanto, al “completar la respuesta del Tribunal de Justicia con la doctrina establecida en su día por este Tribunal en la DTC 1/2004, de 13 de diciembre”, parece estar indicando que no acepta la respuesta a la tercera pregunta que le ha proporcionado el Tribunal de Justicia, y que considera que el Tribunal Constitucional está facultado para aplicar el nivel de protección eventualmente mayor que puede derivar de la Constitución española en el ámbito de aplicación del Derecho de la Unión. Pues bien, si esa lectura del fundamento jurídico 3 fuera correcta, la Sentencia de la mayoría estaría formulando de forma implícita su rechazo a la primacía del Derecho de la Unión que el Tribunal de Justicia ha vuelto a confirmar precisamente en su Sentencia de 26 de febrero de 2013. Todas las citas que el fundamento jurídico 3 entresaca de la DTC 1/2004 apuntan en la misma dirección: se dirigen a subrayar los límites de la integración europea. La aceptación de la primacía del Derecho de la Unión está condicionada —se reitera hasta tres veces con distintas formulaciones— al respeto de los principios y valores básicos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 incoherente que, en un ámbito en el que no existe problema alguno de compatibilidad del Derecho de la Unión Europea con la Constitución española (pues la propia Sentencia se encarga en el fundamento jurídico 4 de reinterpretar y ajustar a la baja el contenido absoluto del derecho fundamental afectado), parezca cuestionarse la primacía incondicionada de dicho Ordenamiento sobre el Derecho interno y se recuerde enfáticamente sus límites. La reiteración de esos límites podría sugerir la existencia de un conflicto profundo entre ambos ordenamientos, postulado que ni se desprende de nuestra jurisprudencia ni creo que sea la opinión mayoritaria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no acaba ahí el fundamento jurídico 3. Creo apreciar además una crítica velada a la jurisprudencia del Tribunal de Justicia, al recordarle la necesidad de “garantizar y salvaguardar de manera efectiva un alto nivel de protección de los derechos fundamentales contenidos en la Carta de Derechos Fundamentales de la Unión Europea” (énfasis añadido). Si esta fuera la intención de esas palabras, quiero mostrar mi absoluto desacuerdo. Este Tribunal no debe recordarle al Tribunal de Justicia la necesidad de que garantice “de forma efectiva” los derechos fundamentales ni que lo haga con “un alto nivel de protección”. Cada jurisdicción debe aplicar sus propias normas de tutela de los derechos fundamentales, con el nivel de protección que dimane de ellas; no puede ni debe garantizar un nivel más alto de protección que el que esas normas consagran, ni por supuesto un nivel de protección exactamente coincidente con el dispensado por cada una de las Constituciones de los Estados miembros. Sin duda le obliga un mandato (explícito o no) de optimización de los derechos reconocidos, pero eso es distinto a aplicar un alto nivel de protección, el cual puede chocar con otros derechos o con otros valores y fines constitucionales e incluso con garantías constitucionales reconocidas en alguno de los Estados miembros.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la intención de crítica al Tribunal de Justicia es real y no mero fruto de mi suspicacia, lo acredita el párrafo que sigue a continuación en el texto y que reproduce íntegramente la advertencia de la DTC 1/2004, según la cual en caso de excesos no remediados por el Tribunal de Justicia, la conservación de la supremacía de la Constitución obligaría al Tribunal Constitucional a abordar tales excesos. Sinceramente no entiendo que, en un supuesto en el que no existe un problema de interpretación divergente ni por supuesto un conflicto con norma constitucional alguna, este Tribunal recuerde y traiga a colación la doctrina formulada en la DTC 1/2004 para los casos hipotéticos y difícilmente concebibles de conflicto con la Constitución española que puedan surgir en la futura dinámica del Derecho de la Unión. Si la mayoría del Pleno consideraba que estábamos ante uno de esos supuestos, debería haberlo argumentado así lisa y llanamente; y si, por el contrario, consideraba que ese no era el caso, sobraba la advertencia.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en mi opinión la Sentencia debería haber prescindido íntegramente del fundamento jurídico 3, que, en último término, parece dar a entender que este Tribunal está de alguna forma insatisfecho con la respuesta dada por el Tribunal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Para resolver el presente recurso de amparo, la Sentencia de la mayoría procede en el fundamento jurídico 4 a reinterpretar ex art. 10.2 CE el contenido absoluto del derecho fundamental a un proceso con todas las garantías, con respecto a la interpretación que venía realizando este Tribunal. Considero que de esta forma se vuelve a la posición tradicional del Tribunal Constitucional, criticada desde distintos ámbitos, que considera el art. 10.2 CE como fundamento exclusivo de la eficacia, en esta sede, de los derechos fundamentales reconocidos en el ámbito de la Unión Europea. Ello no es coherente con el propio hecho del planteamiento de nuestras tres cuestiones prejudiciales sobre la validez y la interpretación de diversas normas europeas relevantes para la resolución del recurso de amparo ni, sobre todo, con el contenido de las respuestas dadas por el Tribunal de Justicia. Tanto el planteamiento de nuestras cuestiones prejudiciales como la contestación del Tribunal de Justicia coinciden en un punto: el reconocimiento de la jurisdicción exclusiva y excluyente del Tribunal de Justicia para proteger e interpretar los derechos fundamentales reconocidos en el ámbito de la 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respuesta a las cuestiones prejudiciales formuladas en nuestro ATC 86/2011, la Sentencia del Tribunal de Justicia 26 de febrero de 2013 ha declarado que las condiciones de ejecución de una orden europea de detención y entrega están armonizadas en el Derecho de la Unión y que, por consiguiente, no es posible aplicar el nivel superior de protección derivado del ordenamiento jurídico interno, sino solo el nivel de protección de los derechos fundamentales reconocidos en los arts. 47 y 48.2 de la Carta.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ha respondido el Tribunal de Justicia a nuestras cuestiones prejudiciales podría servir para integrar vía art. 10.2 CE nuestro canon sobre el contenido absoluto del derecho fundamental a un proceso con todas las garantías del art. 24.2 CE para los supuestos “no relacionados con el ámbito de aplicación del Derecho de la Unión”. Pero en supuestos como el presente, que entran de lleno en el ámbito de aplicación del Derecho de la Unión, no puede ser un mero criterio hermenéutico que podamos manejar con cierta libertad, en conjunción con otros, con el fin de concretar ex art. 10.2 CE el contenido absoluto del derecho fundamental. Por el contrario, proporciona el canon que debemos aplicar ex art. 93 CE en razón de nuestra pertenencia a la Unión Europea: estando plenamente armonizada la regulación de la ejecución de las ordenes europeas de detención y entrega, lo que hay que aplicar son única y exclusivamente los derechos fundamentales de la Unión, en este caso los derechos fundamentales reconocidos en los arts. 47 y 48 de la Carta tal y como han sido específicamente interpretados, a instancia nuestra, por el Tribunal de Justicia en la Sentencia de 26 de febrero de 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otras palabras, el fundamento jurídico de la aplicación a las personas afectadas por una orden europea de detención y entrega del nivel de protección que deriva del Derecho de la Unión no puede ser una norma interna como el art. 24.2 CE, por mucho que sea interpretada vía art. 10.2 CE de conformidad con lo que haya declarado a este respecto el Tribunal de Justicia, sino los derechos fundamentales reconocidos en la Unión, tal como han sido interpretados por el Tribunal de Justicia. Derechos fundamentales de la Unión que deben aplicarse en el ordenamiento jurídico español en virtud de la primacía del Derecho de la Unión que este Tribunal ya reconoció en la DTC 1/2004 (FJ 4) y que, por lo demás, frente a lo que pudiera sugerir el retórico fundamento jurídico 3 de la Sentencia de la mayoría, no plantea en este ámbito problema alguno de divergencia con el nivel de protección que consideramos que se despliega ad extra del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las razones expuestas, considero insatisfactoria la fundamentación jurídica en que se apoya la Sentencia de la mayoría. Esa fundamentación puede alentar las ideas de que este Tribunal no reconoce la primacía del Derecho de la Unión y de que adopta una posición defensiva de su autonomía jurídica frente a aquel ordenamiento, soslayando la primacía del Derecho de la Unión mediante operaciones interpretativas que cree poder controlar con arreglo al art. 10.2 CE. La idea de que esta jurisdicción no aplica derechos de la Unión sino los derechos fundamentales de la Constitución española, si bien convenientemente interpretados de manera que coincidan indefectiblemente con el nivel de protección reconocido en la Unión, no deja de ser una ficción poco convincente.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febrero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la Magistrada doña Encarnación Roca Trías en relación con la Sentencia dictada en el recurso de amparo núm. 6922-2008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máximo respeto a la posición del resto del Pleno, formulo Voto concurrente respecto de la Sentencia citada en el encabezamiento, por la que se acuerda denegar el amparo a don Stefano Melloni.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núcleo del problema en el caso Melloni se centra en que el Tribunal Constitucional español ha venido exigiendo para la protección del derecho a la defensa, una condena en presencia, con la garantía de que si no se había realizado así, para la entrega del presunto delincuente reclamado al país donde se ha seguido el procedimiento, debía garantizarse la repetición del juicio, esta vez, en presencia. Sin embargo, la euroorden, en cuya virtud Italia pide a España la entrega inmediata del Sr. Melloni, condenado en ausencia, aunque representado por sus Abogados, no admite esta exigencia e impide la negativa del país europeo para la entrega del condenado en estas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marco que pone en vigor el procedimiento de la euroorden no hace más que seguir el camino ya iniciado en otros aspectos del Derecho de la Unión, como ocurre en materia de ejecución de decisiones en el ámbito familiar, divorcio, responsabilidad parental, alimentos, sucesiones, títulos europeos, etc. No obstante, la Decisión Marco sobre euroorden no resulta equiparable a estos otros títulos. En este caso concreto, de acuerdo con las resoluciones del Tribunal Constitucional, España reconoce un estándar de protección del derecho a la defensa más alto que el establecido en la citada normativa (aunque habría mucho que hablar de los Reglamentos Bruselas por afectar a los estándares de protección de los derechos fundamentales relacionados con la familia y más concretamente, con los arts. 8 y 12 del Convenio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caso que ahora se somete a la consideración de este Tribunal ha sufrido un largo proceso. Tal y como se deduce de los antecedentes de la presente Sentencia, el Tribunal Constitucional decidió presentar ante el Tribunal de Justicia de la Unión Europea (TJUE) tres cuestiones prejudiciales por ATC 86/2011, de 9 junio. En la aparentemente sencilla STJUE, de 26 febrero 2013, se incide en una de las cuestiones cruciales en el presente y el próximo futuro, es decir, las relaciones entre los Tribunales Constitucionales de los Estados miembros y el Tribunal de Justicia, órgano supremo de la jurisdicción en la Unión Europea, de acuerdo con el art.19.1 del Tratado de la Unión Europea (TUE), que establece que “el Tribunal de Justicia garantizará el respeto del Derecho en la interpretación y aplicación de los Tratado” (asimismo, arts. 251 y siguientes del Tratado de funcionamiento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concreto, el apartado 59 de la STJUE de 26 de febrero de 2013, dice: “En efecto, según jurisprudencia asentada, en virtud del principio de primacía del Derecho de la Unión, que es una característica esencial del ordenamiento jurídico de la Unión (véanse los dictámenes 1/91, de 14 de diciembre de 1991, Rec. p. I 6079, apartado 21, y 1/09, de 8 de marzo de 2011, Rec. p. I 1137, apartado 65), la invocación por un Estado miembro de las disposiciones del Derecho nacional, aun si son de rango constitucional, no puede afectar a la eficacia del Derecho de la Unión en el territorio de ese Estado (véanse, en especial, las sentencias de 17 de diciembre de 1970, Internationale Handelsgesellschaft, 11/70, Rec. p. 1125, apartado 3, y de 8 de septiembre de 2010, Winner Wetten, C 409/06, Rec. p. I 8015, apartado 61)”. Si bien el Tribunal Justicia de la Unión Europea admite las excepciones de acuerdo con el art. 53 de la Carta, la sentencia mantiene que “el artículo 4 bis, apartado 1, de la Decisión marco 2002/584 no atribuye a los Estados miembros la facultad de denegar la ejecución de una orden de detención europea cuando el interesado se halla en alguno de los cuatro supuestos enumerados en esa disposición”, de modo que en el ámbito de la denominada “euro orden”, que lleva a cabo una “armonización de las condiciones de ejecución de una orden de detención europea en casos de condena en rebeldía” y que “refleja el consenso alcanzado por los Estados miembros en su conjunto”, “permitir que un Estado miembro invocara el artículo 53 de la Carta para subordinar la entrega de una persona condenada en rebeldía a la condición, no prevista por la Decisión marco 2009/299, de que la condena pueda ser revisada en el Estado miembro emisor, para evitar que se lesionen el derecho a un proceso con todas las garantías y los derechos de la defensa protegidos por la Constitución del Estado miembro de ejecución, conduciría, al poner en cuestión la uniformidad del nivel de protección de los derechos fundamentales definido por esa Decisión marco, a contravenir los principios de confianza y de reconocimiento mutuo, que ésta pretende reforzar, y por consiguiente a comprometer la efectividad de la referida Decisión marco” (apartados 62 y 63 de la STJUE de 26 de febrero de 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Este Tribunal se enfrentaba, por primera vez, al cumplimiento una decisión dictada por el Tribunal de Justicia que, en ejercicio de su competencia y como consecuencia del planteamiento de tres cuestiones prejudiciales planteadas, exigía un estándar de protección respecto del derecho de defensa en los procedimientos de euroorden, inferior del que hasta ahora se había mantenido. Debo decir que si bien comparto el fallo de la Sentencia que desestima el recurso de amparo, en el que se solicitaba la aplicación del canon aplicado por este Tribunal hasta la presente resolución, no puedo hacerlo respecto de las razones jurídicas sobre las que sustenta dicho cambio de estándar.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no puedo admitir que la modificación de una doctrina consolidada que este Tribunal ha establecido en la interpretación del art 24.2 CE desde la STC 91/2000, de 30 de marzo, no se produzca como consecuencia de la STJUE de 26 de febrero de 2013 (caso Melloni), que interpreta las condiciones para la ejecución de una euroorden dictada en ausencia, aunque con representación procesal del acusado, soslayando que el Tribunal de Justicia de la Unión Europea ha dictado esta resolución a instancias del propio Tribunal Constitucional, como consecuencia de la interposición de una cuestión prejudicial, sino porque este haya reconsiderado, legítimamente, su doctrina anterior. Con tal manera de proceder, el Pleno, si bien cumple con el estándar europeo, deja abiertas a la ambigüedad cuestiones verdaderamente importantes que no favorecen la lógica de la Unión que, no olvidemos, encuentra su sustento en los principios de la lealtad y cooperación leal, primacía y subsidiariedad del derecho de la Unión en el ámbito de sus competencias y respeto por la identidad constitucional recíproca.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dicha vía de colaboración que comenzó con el planteamiento de la cuestión prejudicial, debería haber quedado completada desde el respeto a los principios ya citados, y en concreto, los de primacía, unidad y efectividad del derecho europeo, contenidos en la Carta. Reconocer la función de cada Tribunal, cuando se respeta el ámbito competencial de cada uno, coadyuva también a la efectividad real del llamado “diálogo entre Tribunales”. En el ámbito del derecho de la Unión —y tras haber constatado que no se produjo una vulneración de la Constitución nacional en los términos en los que explicaré—, su aplicación debe observarse teniendo en cuenta argumentos más ajustados a la realidad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se expusiera en el Voto particular formulado por el Magistrado don Pedro Cruz Villalón a la STC 91/2000, de 30 de marzo, FJ 4, “la categoría de las ‘vulneraciones indirectas’ debe someterse a una relativización determinante cuando estamos ante Estados que, desde hace medio siglo, se encuentran integrados en una misma comunidad de derechos y libertades”. En materia de derechos, además, no puede soslayarse el valor vinculante que el art. 6.1 TUE otorgó a la Carta de derechos fundamentales de la Unión (en el sentido expuesto, vid. los Votos particulares formulados por don Jorge Rodríguez-Zapata Pérez y don Pablo Pérez Tremps, a la STC 199/2009, de 28 de septiembre).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y si cabe ahora con más razón dado el nuevo escenario europeo en el que nos encontramos, el Pleno debió sustentar su decisión de rebajar el estándar en el ámbito europeo, hasta ese momento entendido para el sistema de extradición, desde la perspectiva de dichos principios informadores. Se debe tener en cuenta que nos encontramos un nuevo estándar de protección del derecho a la defensa en la interpretación del art 24.2 CE que este Tribunal había establecido, entre otras, en la STC 91/2000, de 30 de marzo, y que fue acordado por los países europeos (Decisión Marco 2002, posteriormente modificada por la Decisión Marco 2009/299), entre ellos España y en gran parte a instancias suyas.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art. 2 del Tratado de Lisboa dice que “la Unión se fundamenta en los valores de respeto de la dignidad humana, libertad, democracia, igualdad, Estado de derecho y respeto de los derechos humanos”. La prioridad del Derecho europeo abre unos nuevos problemas cuando se trata de la aplicación de los derechos fundamentales. Pueden citarse en este sentido las resoluciones de los Tribunales europeos que niegan que la integración europea pueda llegar a violar los derechos fundamentales de los ciudadanos de cada uno de los estados. Así la doctrina cita las Sentencias italianas de 27 de diciembre de 1973 (caso Frontini), 8 de junio de 1984 (caso Granital) y 21 de abril de 1989 (caso Fragd). Especialmente significativas son la decisión del Tribunal Constitucional alemán, (Bundesverfassungsgericht), conocida con el nombre de Solange 1 (29 de mayo de 1974), al afirmar que “en tanto” las Comunidades europeas no contaran con un catálogo de derechos fundamentales, cualquier Juez nacional, tras haber planteado la cuestión prejudicial al Tribunal de Justicia, podía dirigirse al Tribunal Constitucional si no resultaba convencido de la respuesta; el Tribunal, sin embargo, en la conocida como Solange 2, (22 de octubre de 1986) dijo que “en tanto” las Comunidades garanticen de manera general la protección efectiva de los derechos fundamentales frente al poder soberano de las Comunidades, no correspondería al Tribunal examinar la conformidad del Derecho comunitario con los derechos fundamentales reconocidos en el ordenamiento alemán.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Tribunales Constitucionales europeos han utilizado dos cánones para enjuiciar el hipotético enfrentamiento entre la prioridad del Derecho europeo y la protección constitucional interna de los Derechos fundamentales reconocidos en las distintas constituciones. El primero se utiliza a partir de la resolución alemana Solange 2, y consiste en la doctrina de la “protección equivalente”, en el sentido de que cuando existan derechos reconocidos a nivel europeo (aunque no en el Convenio europeo de derechos humanos), los tribunales nacionales no deberán enjuiciar una hipotética confrontación. En este sentido, la decisión del Consejo Constitucional francés de 29 de octubre de 2004 y la STEDH caso Bosphorus, de 30 de junio de 2005. El segundo consiste en el denominado “estándar mínimo de protección”. Este es el aceptado de alguna forma en la Declaración de este Tribunal 1/2004, de 13 de diciembre, en donde se señala que “claramente se advierte que la Carta se concibe, en todo caso, como una garantía de mínimos, sobre los cuales puede desarrollarse el contenido de cada derecho y libertad hasta alcanzar la densidad de contenido asegurada en cada caso por el Derecho interno”. Se añadía allí que “en el caso difícilmente concebible de que la ulterior dinámica del Derecho de la Unión Europea llegase a resultar inconciliable este Derecho con la Constitución española, sin que los hipotéticos excesos del derecho europeo respecto de la propia Constitución europea fueran remediados por los cauces ordinarios previstos en ésta”, actuaría en última instancia en pro de la conservación de la soberanía del pueblo español y de la supremacía de la Constitución a través de los mecanismos constitucionales pertinentes.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afirmó en el Voto particular formulado por el Magistrado don Pablo Pérez Tremps a la STC 199/2009, FJ 1, en la cultura común de los derechos fundamentales de los países miembros de la Unión Europea, “la equivalencia en la protección de esos derechos no se traduce, o no debe traducirse, en una mera equivalencia formal, sino también en la aceptación de la suficiencia de “las garantías sustanciales ofrecidas y [de] los mecanismos previstos para su control” (STEDH caso Bosphorus c. Irlanda, de 30 de junio de 2005, § 155), coronado en todo caso, como ya se ha indicado, por la labor del Tribunal Europeo de Derechos Humanos. Ese principio de equivalencia y de suficiencia en la protección resulta especialmente claro y exigible en el seno de la Unión Europea, que sólo adquiere sentido como proyecto político y jurídico sobre la base de la confianza legítima en las instituciones comunitarias y en los demás Estados miembros”.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Como ya he apuntado, el Pleno en la Sentencia a la que formulo este Voto concurrente, se limita, sin embargo, a reconsiderar, legítimamente, por otra parte, su doctrina anterior. Con esta manera de proceder, se deja traslucir lo que, en el fondo, siempre late en este tipo de situaciones en las que, como en el espacio europeo, coinciden dos tribunales competentes, el Tribunal de Justicia de la Unión Europea y el Tribunal Constitucional, sin dejar de lado el Tribunal Europeo de Derechos humanos, que ahora no se cuestiona: la defensa de la competencia del Tribunal Constitucional en el ámbito de los derechos fundamentales. Pero, sobre todo ocurre que, ante la falta de un reconocimiento claro de la competencia del Tribunal de Justicia de la Unión Europea en esta competencia, aceptada, sin embargo, al plantearse las cuestiones prejudiciales, no sólo no se soslayan cuestiones que me parecen fundamentales para el entendimiento de la lógica de la Unión, sino que se llega a conclusiones que no comparto. Es cierto que, desde el momento en que se ha incorporado al Derecho de la Unión la Carta de los derechos fundamentales de la Unión Europea, a la que el art. 6.1 TUE atribuye “el mismo valor jurídico que los tratados”, se produce un entrecruzamiento de competencias sobre la misma materia. No puede decirse que como consecuencia de la adhesión de España a la Comunidad Económica Europea (CEE), en 1985, el Tribunal Constitucional haya perdido competencias en la protección de los derechos fundamentales, pero sí que en tanto que existen derechos protegidos a nivel europeo, como consecuencia de la incorporación de la Carta al ordenamiento jurídico europeo, el Tribunal Constitucional debe examinar su competencia cuando se trata de la aplicación de estos derechos fundamentales. Ello ha llevado al Tribunal Constitucional a admitir determinadas decisiones del Tribunal de Justicia de la Unión Europea, sobre todo, en aplicación del principio de igualdad (vid. SSTC 41/2013, de 14 de febrero; y 61/2013, de 14 de marzo).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ello, a mi juicio, y una vez constatado que la decisión del Tribunal de Justicia de la Unión Europea se ejercía en el ámbito de su competencia y que la interpretación de las exigencias derivadas de los arts. 47 y 48.2 de la Carta de los derechos fundamentales de la Unión Europea que se establece en la STJ de 26 de febrero de 2013, no afectaba a los límites materiales de la Constitución, este Tribunal debió haber aplicado abiertamente el estándar común marcado por el Tribunal de Justicia de la Unión Europea, máxime cuando, como de la propia Sentencia de cuya argumentación discrepo, se desprende que éste respeta la jurisprudencia del Tribunal Europeo de Derechos Humanos, tal y como así requiere art. 52.3 Carta de derechos fundamentales de la Unión. Tengo que advertir, no obstante, que si bien dichos límites no se encuentran recogidos expresamente en el art. 93 CE, creo que puede entenderse, como así consideró en su día este Tribunal en la DTC 1/2004, de 13 de diciembre, FJ 2, que “implícitamente se derivan de la Constitución y del sentido esencial del propio precepto” y que “se traducen en el respeto de la soberanía del Estado, de nuestras estructuras constitucionales básicas y del sistema de valores y principios fundamentales consagrados en nuestra Constitución, en el que los derechos fundamentales adquieren sustantividad propia (art. 10.1 CE)”. Hago mías, con la salvedad de las diferencias normativas obvias, las palabras que el Magistrado don Pedro Cruz Villalón en el voto particular ya mencionado: “Creo … que la labor de indagación del contenido absoluto del derecho a la defensa (art. 24.2 CE) es innecesaria cuando existe una norma de ámbito supranacional, respecto de la que no se suscitan dudas de constitucionalidad, que aborda específicamente el problema de la extradición de los condenados en rebeldía en el marco del Convenio Europeo de Extradición, el art. 3.1 del segundo Protocolo adicional al mismo, ratificado por nuestro país sin formulación de reserva alguna” (FJ 4). Dicha afirmación toma más fuerza ahora: no nos encontramos ante Tratado Internacional a los efectos dispuestos en el art. 10.2 CE, sino ante un sistema incluido como consecuencia de la cesión de competencias llevada a cabo a través del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argumentación de la Sentencia comienza haciendo referencia a la citada DTC 1/2004 (vid. FJ 3), sobre la cual, sostiene, debe completarse la respuesta del Tribunal de Justicia. Una afirmación sobre la que, dada la ausencia de explicación al respecto, no puedo hacer consideración alguna. No obstante, sí advertiré, porque me parece pertinente, que la utilización de los criterios hermenéuticos de la citada Declaración, deben asumirse desde el bien entendido que dicha Declaración se realizó sobre un texto, la non nata Constitución europea, que no es el que actualmente se encuentra en vigor. Y añadiré que sobre el Tratado de Lisboa este Tribunal no ha tenido oportunidad de pronunciarse, pues únicamente puede hacerlo a instancia de parte, y que fue firmado sin formulación de reserva alguna. Hechas dichas precisiones, lo cierto es que la Sentencia, después de hacer referencia a ciertos pasajes de la DTC 1/2004, en especial sobre la función del Tribunal ante una hipotética incompatibilidad, guarda silencio sobre una cuestión fundamental: la ausencia de dudas de constitucionalidad, de lo que cabe concluir, aunque sea por omisión, que el Pleno ha entendido que la STJUE no traspasa, como así yo también lo creo, los límites que, en su día, y ante la ratificación de la Constitución europea, fueron impuestos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la transcripción de diferentes pasajes de la Declaración, y sin aplicación alguna al caso, la Sentencia se limita a afirmar que al Tribunal Constitucional “no le corresponde realizar un control de validez del derecho adoptado por las instituciones de la Unión, control que debe realizar, en todo caso, al Tribunal de Justicia al resolver, entre otros procesos, las cuestiones prejudiciales de validez que, en su caso, se le planteen”; y que “es fundamentalmente a través de éstas, así como de las cuestiones prejudiciales de interpretación, como se le ofrece al Tribunal de Justicia la oportunidad de garantizar y salvaguardar de manera efectiva un alto nivel de protección de los derechos fundamentales contenidos en la Carta de Derechos Fundamentales de la Unión Europea”; “alto nivel de protección”, que, quiero entender no se refiere al más intenso.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referencias hechas en relación con el Derecho de la Unión, pierden todo su sentido, sin embargo, cuando el canon de control que la Sentencia entiende debe aplicarse para enjuiciar la constitucionalidad del Auto recurrido “ha de ser integrado por los tratados y acuerdos internacionales sobre protección de los derechos fundamentales y las libertades públicas ratificados por España”. Es decir, el Convenio europeo para la protección de los derechos humanos y libertades fundamentales y la Carta de los derechos fundamentales de la Unión Europea, y la interpretación que de los mismos llevan a cabo los órganos de garantía establecidos por esos mismos tratados y acuerdos internacionales.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Está argumentación, en principio tan inocua, no está exenta de consecuencias que derivan, al parecer de quien firma este Voto particular, de cuestiones que no están bien resueltas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efecto, equiparar en la Sentencia ambos niveles de protección, Tribunal de Justicia de la Unión Europea y Tribunal Europeo de Derechos Humanos, pone en entredicho principios, a mi juicio, básicos para la construcción europea. Sobre ellos debería haberse sustentado la decisión del Pleno, coadyuvando, de esta manera, en favor de un diálogo entre Tribunales eficaz y no sólo aparente, una vez confirmada en el fundamento jurídico 3, aunque fuera por omisión, la inexistencia de confrontación con la Constitución española. Y ello, por las siguientes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el derecho de la Unión Europea no es Derecho internacional en el territorio de los Estados miembros; las decisiones no son de la Unión Europea, sino de sus miembros que se sientan en los organismos comunitarios y en el Parlamento europeo y, por ello, los Reglamentos tienen efecto inmediato en los ordenamientos jurídicos nacionales. Los Estados han cedido soberanía a la Unión Europea y por ello el art. 93 CE establece: “Mediante Ley orgánica se podrá autorizar la celebración de tratados por los que se atribuya a una organización o institución internacional el ejercicio de competencias derivadas de la Constitución. Corresponde a las Cortes Generales o al Gobierno, según los casos, la garantía del cumplimiento de estos tratados y de las resoluciones emanadas de los organismos internacionales o supranacionales titulares de la cesión”. Artículo fundamental en la discusión de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el ámbito de aplicación del Derecho de la Unión, el contenido de los derechos fundamentales queda fijado por sus normas y por la interpretación que de ellas y de los derechos de la Carta haga el Tribunal de Justicia de la Unión Europea, el cual conforma una interpretación sustantiva uniforme de los mismos, canon, parámetro o estándar supranacional de derechos, que debe sustentarse en el respeto de las tradiciones constitucionales comunes a los Estados miembros y los derechos protegidos por el Convenio europeo para la protección de los derechos humanos y de las libertades fundamentales (art. 6.3 TUE), tal y como dichos derechos son interpretados por el Tribunal Europeo de Derechos Humanos (art. 52.3 de la Carta de derechos fundamentales de la Unión; y STJ de 22 de diciembre de 2010, DEB Deutsche Energiehandels- und Beratungsgesellschaft mbH, C-279/09, apartado 35). Dicho canon, parámetro o estándar supranacional no puede ser eludido, salvo en aquellos casos en que se traspasen los límites ya referidos. Esto es particularmente cierto en el caso de la orden europea de detención y entrega: un mecanismo de cooperación entre las autoridades judiciales entre los Estados miembros de la Unión, que comparten un espacio común de libertad, seguridad y justicia basado en el respeto de los derechos humanos y 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Todos los Jueces y Tribunales nacionales deben aplicar el derecho europeo y por ello, todos, sin excepción, son “jueces europeos” cuando se trate de dicha aplicación. También en materia de derechos fundamentales, y en la aplicación del Derecho de la Unión, deben atender al estándar europeo, con la posibilidad, no obstante, de que, en el supuesto de que la normativa comunitaria deje margen a la discrecionalidad, recurran, si así lo estiman, al canon nacional (STJ de 26 de febrero de 2013, asunto Akerberg Frannson).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debe actuar así la jurisdicción constitucional, como lo demuestra que el propio Tribunal Constitucional, en el Auto de planteamiento de la cuestión prejudicial, se reconozca como “órgano jurisdiccional” en el sentido de lo dispuesto en el art. 267 del Tratado de funcionamiento de la Unión Europea [ATC 86/2011, de 9 de junio, FJ 4 e)]. Establece el citado art. 267, que el Tribunal de Justicia de la Unión Europea será competente para pronunciarse, con carácter prejudicial, sobre la interpretación de los Tratados y sobre la validez e interpretación de los actos adoptados por las instituciones, órganos u organismos de la Unión, cuando así se lo plantease un órgano jurisdiccional de uno de los Estados miembros por estimar necesaria una decisión al respecto para poder emitir su fallo. De lo expuesto se deriva claramente que cuando un Tribunal de uno de los Estados miembros decide interponer este tipo de cuestión, está reconociendo que el competente para resolverla, es el Tribunal ante el que se formula dicha cuestión, salvo que su decisión afecte a los límites materiales de la Constitución, en los términos ya expuestos. Es cierto que el problema es complejo y ha producido diversas soluciones en los diferentes Tribunales europeos (caso checo), pero ello debe relacionarse con los cánones a los que antes me he referido.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euroorden sustituye a la extradición en el marco de los países europeos, pero no en relación con países terceros, por lo que al no compartir los mismos principios, no se mostraba necesario ni, incluso, conveniente establecer un único canon de protección del derecho a la defensa.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debe hacerse notar, y esta es una diferencia fundamental, que los países miembros de la Unión Europea comparten una cultura de los derechos fundamentales, precisamente derivada de su pertenencia a este ente supranacional (art. 93 CE), de la que carece el resto de los Estados. El reconocimiento de un nivel de protección inferior del derecho a la defensa en relación a la euroorden proviene de la aplicación del aludido principio de confianza mutua, porque todos los países europeos comparten unos mismos o equivalentes sistema de protección, al haber aceptado en el Tratado de Lisboa los derechos reconocidos en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Precisamente por ello, y porque este Tribunal no se encuentra sometido al cumplimiento del Derecho de la Unión en materia de extradición con terceros países no integrados en la Unión Europea, no tiene por qué verse limitado a los estándares europeos. El canon, parámetro o estándar constitucional pudiera ser otro diferente; incluso haber permanecido el mismo, pero como consecuencia, y en este caso sí, de la aplicación del art. 10.2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afirma con carácter general que “mientras que los poderes públicos españoles se hallan vinculados de modo incondicionado ad intra por los derechos fundamentales, tal y como éstos han sido consagrados por la Constitución, el contenido vinculante de los derechos fundamentales cuando se proyectan ad extra es más reducido”. Y me pregunto: ¿incluso en los Estados que soliciten la extradición y no compartan la misma concepción de los derechos y libertades?, ¿cuál es la razón para entender que debe ser más reducido? Estas y otras preguntas surgen como consecuencia de esta decisión, de modo que un cambio tan radical de postura tras una jurisprudencia constante iniciada en el año 2000, requería, con todos mis respetos, de una motivación más argumentada; salvo que hubiéramos admitido claramente que se trataba de una Sentencia de ejecución y no de una Sentencia dictada en amparo con cambio de doctrina, lo cual a mi juicio, hubiera constituido un comportamiento más acorde con nuestra función como órgano judicial europeo y hubiera evitado entrar en un tema tangencial como lo era la “extradición”, cuando de lo que se estaba tratando era de la euro orden.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advertía el Magistrado don Jorge Rodríguez-Zapata Pérez, en su ya mencionado Voto particular, que la naturaleza de ambas instituciones —extradición y euro orden— es claramente distinta y que las Sentencias que se invocaban en la Sentencia de la que él discrepaba no se habían “detenido a razonarlo o a negarlo, impidiéndonos advertir cuál ha sido el proceso lógico que ha aconsejado extender los efectos de la primera a la segunda”. Lo dicho puede ser trasladado a la presente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En conclusión, no estoy de acuerdo con la argumentación contenida en el texto de la Sentencia aprobada por el Pleno, por las siguientes razones que resultan de los argumentos expuestos: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1º El Pleno no especifica cuáles son los motivos por los que se accede al cambio de los cánones hasta ahora utilizados en nuestro sistema que conforman la interpretación del derecho a la defensa.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2º No se alude a la naturaleza del Derecho de la Unión respecto a los derechos y deberes contenidos en la Carta.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3º No se incluyen criterios o cánones constitucionales que deban regir en las extradiciones a países terceros. Se deja sin solución el problema.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4º En definitiva, el Tribunal Constitucional no asume su papel de Juez europeo.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febrero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concurrente que formula el Magistrado don Andrés Ollero Tassara en relación con la Sentencia del Pleno de 13 de febrero de 2014 dictada en el recurso de amparo avocado núm. 6922-2008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del resto de la Sala, y en ejercicio de la facultad conferida por el art. 90.2 de la Ley Orgánica del Tribunal Constitucional, formulo Voto concurrente respecto de la Sentencia citada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lugar debo manifestar que comparto el fallo y parte de la fundamentación jurídica que lo sustenta. Tal y como expresé en la deliberación, mi discrepancia se refiere al alcance que en dichos fundamentos se atribuye a nuestra resolución.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nuestro reconocimiento de la vinculación que deriva, vía art. 93 CE, para el Reino de España de la condición de Estado miembro de la Unión Europea. Suscribo, sin embargo a la vez, en todo su alcance la afirmación de nuestra Declaración 1/2004, de 13 de diciembre, FJ 2, citada en el fundamento jurídico 3 de la presente Sentencia: “la cesión constitucional que el art. 93 CE posibilita tiene a su vez límites materiales”. “[N]o recogidos expresamente en el precepto constitucional, pero que implícitamente se derivan de la Constitución y del sentido esencial del propio precepto, se traducen en el respeto de la soberanía del Estado, de nuestras estructuras constitucionales básicas y del sistema valores y principios fundamentales consagrados en nuestra Constitución, en el que los derechos fundamentales adquieren sustantividad propia (art. 10.1 CE)”. No en vano “la Constitución exige que el Ordenamiento aceptado como consecuencia de la cesión sea compatible con sus principios y valores básicos”.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Tribunal de Justicia de la Unión Europea, con sede en Luxemburgo, ha ido consolidando jurisprudencia inspirada en las tradiciones constitucionales de los Estados miembros sobre el contenido mínimo de protección de los derechos fundamentales por el que han de considerarse vinculados. A su determinación ha contribuido decisivamente la inclusión entre los Tratados de la Carta europea de derechos fundamentales. En modo alguno se pretendía con ello condicionar posibles sobreprotecciones en vigor en los diversos Estados. Similar situación deriva de la vinculación de España al Convenio de Roma del Consejo de Europa y a la jurisprudencia del Tribunal Europeo de Derechos Humanos con sede en Estrasburgo. También en este caso, su jurisprudencia establece unos contenidos inexcusables de protección de los derechos, sin excluir con ello la posible sobreprotección establecidas en los Estados signatarios.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la jurisprudencia del Tribunal de Justicia de la Unión los hechos han acabado demostrando que en determinadas ocasiones, tanto en España como en otros Estados miembros, alguna sobreprotección establecida se ve sin embargo obligadamente excluida como consecuencia de la normativa comunitaria; como ocurre en el caso presente, dado el alcance de la “euroorden” destinada a combatir con mayor eficacia la delincuencia transnacional en el ámbito de la 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Aceptando que todo ello ha de llevarnos a reconocer determinadas excepciones respecto al nivel de protección de los derechos establecido por nuestra doctrina, en nuestra relación con Estados igualmente vinculados por la citada “euroorden”, no acabo de compartir la afirmación del fundamento jurídico 4 de esta Sentencia con el único argumento de la respuesta del Tribunal de Luxemburgo a nuestra primera cuestión prejudicial, de que, “una vez recordada la doctrina de este Tribunal en relación con las vulneraciones indirectas de los derechos fundamentales y su concreta aplicación al ámbito del derecho fundamental a un juicio justo”, debamos “proceder a revisar la caracterización que este Tribunal ha venido realizando hasta ahora del denominado contenido absoluto del derecho a un proceso con todas las garantías (art. 24.2 CE)”, que ha venido rigiendo nuestra relación con países ajenos a la citada norma comunitaria. No veo razón alguna para la que el trato excepcional que del artículo 93 CE deriva haya de hacerse extensivo a la inmensa mayoría de países ajenos a la Unión Europea. Tal diversidad de trato no es muy distinta de la generada, mediando reforma constitucional, del art. 13 CE, en lo relativo al derecho fundamental a sufragio pasivo, y no meramente activo, en las elecciones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en el caso de que —por otros motivos, no apuntados en esta Sentencia— se considerara que debíamos abandonar la sobreprotección de la tutela judicial implícita en nuestra doctrina, no sería esta la ocasión más oportuna para llevar a cabo tal justificación: un concreto recurso de amparo planteado por un ciudadano de un Estado miembro de la Unión Europea, igualmente vinculado por la “euroorden”. No me parece que la mejor manera de inaugurar lo que se vislumbra como un laborioso “diálogo de Tribunales” entre el Constitucional español y el de Justicia de la Unión Europea, sea prestarle innecesariamente aire de monólogo con obligado asentimiento.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Estimo, por otra parte, que la situación planteada debiera haber animado a nuestro Tribunal a recordar la conveniencia de que la Unión Europea suscriba a su vez el Tratado de Roma, para evitar que sus Estados miembros se vean obligados en incómodo escorzo a un innecesario diálogo a tres, a la hora de fijar los obligados contenidos mínimos en la protección de los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febrero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