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5688-2013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5688-2013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octubre de 2013, el Procurador de los Tribunales don Javier Cuevas Rivas, en nombre y representación de don Isidro Garalde Bedialauneta, interpuso demanda de amparo contra el Auto de la Sala de lo Penal del Tribunal Supremo de 9 de mayo de 2013, por el que se declara no haber lugar a la admisión del recurso de casación núm. 10157-2013 interpuesto contra el Auto del Pleno de la Sala de lo Penal de la Audiencia Nacional de 30 de noviembre de 2012 en la ejecutoria núm. 58-1995, sobre licenciamiento.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ATC 233/2013, de 17 de octubre, acordó estimar justificada la abstención formulada por el Magistrado don Enrique López y López en el presente recurso de amparo. Por acuerdo de la Presidenta de la Sala Segunda de este Tribunal de 17 de febrero de 2014 se designó en sustitución del Magistrado abstenido al Magistrado don Pedro González-Trevijano Sánchez para completar la Sección Cuarta.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Secretaria de Justicia de la Sección Cuarta de este Tribunal, por diligencia de ordenación de 6 de febrero de 2014, solicitó a la Audiencia Nacional que remitiera certificación o copia adverada del Auto del Pleno de la Sala de lo Penal de la Audiencia Nacional de 8 de noviembre de 2013 por el que se acordó la puesta en libertad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21 de febrero de 2014, acordó conceder un plazo de diez días a las partes personadas para que, en virtud del art. 84 de la Ley Orgánica del Tribunal Constitucional, alegaran lo que estimaran conveniente sobre la perdida de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presentó alegaciones mediante escrito registrado el 4 de marzo de 2014, en el que consideró que existía pérdida sobrevenida de objeto del recurso de amparo al haberse producido, tras la admisión de la demanda, la reparación por la Audiencia Nacional de la lesión del derecho a la libertad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alegaciones mediante escrito registrado el 17 de marzo de 2014, en el que consideró que existía pérdida sobrevenida de objeto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De modo que, en estos supuestos, la demanda de amparo deja de tener objeto, toda vez que la reparación de la lesión del derecho fundamental por los propios órganos judiciales, antes de que este Tribunal dicte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casos podemos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 (ATC 286/2006, de 24 de julio, FJ 2). De cualquier modo, conviene advertir que es preciso excluir todo automatismo en la respuesta, por lo que habrá que atender a las circunstancias particulares que concurren en cada caso (STC 305/2000,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los autos se desprende que, por Auto del Pleno de la Sala de lo Penal de la Audiencia Nacional de 8 de noviembre de 2013, se resolvió hacer extensiva la aplicación de la Sentencia del Tribunal Europeo de Derechos Humanos de 21 de octubre de 2013 por la similitud existente con las pretensiones del demandante de amparo. Y en consecuencia tomar como referencia el tope máximo de treinta años, para, a partir de él, hacer los descuentos que correspondan por redenciones, y acordar la libertad de la recurrente. En dicho Auto se acordó la inmediata puesta en libertad y se declararon extinguidas las responsabilidades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reconocía que las redenciones debían ser abonadas del tope máximo de treinta años. Precisamente esa fue la pretensión que el demandante sostuvo en su recurso de amparo. Habiéndose decretado la puesta en libertad del recurrente, de conformidad con lo dispuesto en los arts. 80 y 86.1 de la Ley Orgánica del Tribunal Constitucional (LOTC), en relación con el art. 22 de la Ley de enjuiciamiento civil, procede declarar la pérdida de objeto del presente recurso, en tanto que la continuación del proceso no satisface ningún interés.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