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2157-2013, promovido por doña Lierni Armendariz González de Langarika, representada por el Procurador de los Tribunales don Javier Cuevas Rivas, bajo la dirección de la Letrada doña Arantxa Aparicio Lopetegi, contra el Auto de la Sala de lo Penal del Tribunal Supremo de 24 de enero de 2013, por el que se acuerda no haber lugar a la admisión del recurso de casación núm. 10921-2012, interpuesto frente al Auto de la Sección Cuarta de la Sala de lo Penal de la Audiencia Nacional, de 11 de junio de 2012, dictado en la ejecutoria núm. 153-2004, sobre acumulación de condenas y cómputo de abono de la prisión provisional.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doña Lierni Armendariz González de Langarika, y bajo la dirección de la Letrada doña Arantxa Aparicio Lopetegi, interpuso recurso de amparo contra las resoluciones que se citan en el encabezamiento, mediante escrito registrado en este Tribunal el día 11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extingue varias condenas impuestas en diversas causas seguidas por delitos de terrorismo, que suman más de doscientos años de privación de libertad. Las diferentes condenas fueron acumuladas procesalmente en fase de ejecución, fijándose en treinta años de privación de libertad el límite máximo de cumplimiento de las mismas, ex art. 76 del Código penal (CP) de 1995, de conformidad con lo acordado por la Sección Cuarta de la Sala de lo Penal de la Audiencia Nacional en Auto de 11 de junio de 2012, en virtud de la petición de acumulación y de liquidación de condena, con abono de los periodos de prisión preventiva, que formuló la representación procesal de la demandante de amparo. En aplicación de la STC 57/2008, de 28 de abril, solicitaba que se modificara la liquidación de condena, deduciendo del límite máximo de cumplimiento de las acumuladas (treinta años de privación de libertad) la suma de los períodos de prisión preventiva sufrida en cada una de las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encargado de la ejecutoria —la Sección Cuarta de la Sala de lo Penal de la Audiencia Nacional— acordó, en el Auto antes citado, de 11 de junio de 2012, la acumulación de las penas impuestas en las diversas causas hasta el límite de cumplimiento de treinta años de prisión, al haber sido condenada la penada por dos o más delitos castigados con una pena superior a veinte años, desestimando por otra parte, su petición respecto del abono de la prisión preventiva padecida en las causas cuyas penas acordaba acumular.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prisión provisional, razonaba el Auto que, conforme a la jurisprudencia constitucional, “también en el caso de las diferentes aplicaciones de prisiones preventivas, por estrecha analogía con lo anterior, las mismas se han de producir independientemente del límite máximo de cumplimiento efectivo previsto en el art. 76 del Código Penal, lo que quiere decir [que] la reducción de tiempo de cumplimiento derivado de dichos abonos no resultará de aplicación sobre ese máximo de cumplimiento sino para cada una de las penas inicialmente impuestas, de modo que, si a pesar de ello, siguieran éstas excediendo del referido límite legal, éste continuará operando tal como se previó en su momento”. En virtud de ello disponía practicar nueva liquidación de condena, abonando la prisión preventiva según el criterio señalado, esto es, “sin que en ningún caso afecte al límite de 30 años establecido como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solución de cómputo descrita fue ratificada por la Sala Segunda del Tribunal Supremo, en Auto de 24 de enero de 2013, resolviendo el recurso de casación núm.10921-2012.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argumenta esta resolución, la jurisprudencia constitucional no ha establecido que los efectos del doble cómputo deban aplicarse al límite máximo de cumplimiento. Por ello, resolviendo el motivo, alega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tiempo de prisión preventiva sufrido en una determinada causa debe ser abonado para el cumplimiento de la pena o penas impuestas en la misma aunque coincida temporalmente con el cumplimiento de una pena impuesta en causa diferente. En segundo lugar, la coincidencia temporal de varias prisiones preventivas impuestas en distintas causas no permite el abono en todas ellas, de manera que el tiempo ya considerado y abonado en el cumplimiento de la pena impuesta en cualquiera de ellas no puede ser nuevamente aplicado en otra diferente. En tercer lugar, el establecimiento de un tiempo máximo de cumplimiento no significa el señalamiento de una nueva pena, de forma que la preventiva sufrida no se descontará de ese límite máximo, sino que cada una de las penas impuestas deberá cumplirse sucesivamente por el orden de respectiva gravedad en cuanto sea posible (artículo 75 CP), cada pena con sus propios avatares, de forma que en cada pena se descontará la preventiva sufrida en la misma, siempre que, como preventiva, no haya sido ya abonada en otras causas de cumplimiento preferente. Y en cuarto lugar, en cualquier caso, el máximo total de permanencia efectiva en situación de privación de libertad establecido para el conjunto de las penas afectadas por la acumulación, no puede ser rebasado.”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esos principios, la Sentencia del Tribunal Supremo desestima el recurso, al haberse aplicado en la resolución recurrida —siguiendo doctrina consolidada de la Sala— el cómputo de la prisión provisional a cada una de las penas inicialmente impuestas, y no sobre el límite de cumplimiento efectivo previsto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dicha pauta de cómputo de la prisión provisional la que se cuestiona en la demanda de amparo. Entiende la penada que ese criterio lesiona su derecho a la libertad personal y seguridad (art. 17 CE) y a la tutela judicial efectiva (art. 24.1 CE), dado que, al no abonarse la prisión preventiva como tiempo de prisión cumplido y al no ser descontada del límite total del cumplimiento, en la práctica y en su caso concreto existen periodos de prisión provisional efectivamente sufridos que no se llegan nunca a computar (lo que denomina “neutralización del efecto reductor de la condena de parte de la prisión provisional”). De esa manera, quedan fuera del límite de cumplimiento de prisión aquellas penas en las que fueron impuestas las medidas de prisión cautelar, obviándose que deben ser computadas en su totalidad para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decir de la recurrente, las resoluciones recurridas se apartarían de la STC 57/2008, relativa al cómputo de prisiones preventivas sufridas en simultaneidad con otras que derivan de la ejecución de penas impuestas, inaplicándose su doctrina, según la cual aun manteniéndose el tope de cumplimiento de las penas, deben tenerse como tiempos ya cumplidos efectivamente, y como tiempos abonables, dentro de dicho límite máximo, los periodos efectivamente sufridos en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12 de septiembre de 2013,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 la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7 de noviembre de 2013, acordó tener por recibido el testimonio de las actuaciones y dar vista de ellas al Ministerio Fiscal y a la parte recurrente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día 14 de enero de 2014, interesa que se otorgue el amparo por la vulneración del derecho a la libertad (art. 17.1 CE), así como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cuestión planteada se centra en el abono de la prisión provisional como parte del límite máximo de cumplimiento efectivo de condena acordado por el Auto de acumulación —treinta años— cuando coincide con la situación de penado. A esos efectos, tras referirse a la doctrina de este Tribunal y a la Sentencia del Tribunal Europeo de Derechos Humanos, Gran Sala, de 21 de octubre de 2013, razona que se produce la lesión denunciada porque se ha excluido del cómputo del tiempo de abono el periodo en que la recurrente permaneció privada de libertad en la doble condición de penado y preventivo. La exclusión de esos periodos despojaría de todo efecto útil a la privación de libertad efectivamente sufrida en cualquiera de las modalidades: la sola prisión provisional o la situación de penado simultánea a la situación de prisión provisional. En definitiva, dice, “el abono de prisión preventiva, vinculado a la pena de cada respectiva causa en su cumplimiento sucesivo conforme al art. 75 CP, limita, en este caso, la aplicación del art. 58 CP 1995 (art. 33 CP 1973) respecto a la deducción de los periodos de privación de libertad por prisión preventiva de la pena a la que corresponden, eliminando parte de ellos —los de las penas no cumplidas en orden sucesivo por virtud del tope máximo establecido—, y desplaza la aplicación del art. 76 CP,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cómputo, encuentre cobertura legal. Por tanto, la decisión de que la liquidación de condena que eventualmente se practique solo tenga en cuenta los periodos de prisión preventiva a medida que se vayan cumpliendo las sucesivas penas, empezando por la más grave, conforme al art. 75 CP, aunque ello comporte la eliminación de periodos de prisión preventiva sufrida y, por tanto, la superación del límite de cumplimiento del art. 76 CP, no efectuándose en la forma prevista por la ley y careciendo de cobertura legal, es contraria al derecho a la libertad y vulnera los arts.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formuló alegaciones por escrito registrado en este Tribunal el día 22 de noviembre de 2013, ratificándose en esencia en los contenidos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2014,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 la demandante en tres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8 de febrero de 2006 al 22 de enero de 2008,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decisiones adoptadas no han producido la alegada lesión del derecho a la libertad del demandante (art. 17.1 CE), al no contravenir lo dispuesto en el art.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doña Lierni Armendariz González de Langarika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núm. 2157-2013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con la fundamentación jurídica de la Sentencia y con su fallo por las mismas razones expuestas en el Voto particular que formulé en la STC 35/2014, de 27 de febrero, a cuyo contenido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