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por la pérdida de objeto del amparo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día 29 de junio de 2011, doña Ángeles Vegas Ballesteros, Procuradora de los Tribunales y de don Pedro Antonio Seco Martínez, interpuso recurso de amparo contra la Sentencia de la Sala de lo Penal del Tribunal Supremo de 3 de mayo de 2011, dictada en recurso de casación contra Auto de la Audiencia Provincial de Albacete sobre la determinación de su fecha de licenciamiento.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Acordada la admisión a trámite por la Sala Primera de este Tribunal mediante providencia de 26 de marzo de 2012, la Audiencia Provincial remitió Auto de 14 de noviembre de 2013 por el que se acordó la puesta en libertad de la recurrente. La Sala, por providencia de 16 de diciembre de 2013, acordó conceder un plazo de cinco días a las partes personadas para que, en virtud del art. 84 de la Ley Orgánica del Tribunal Constitucional, alegaran lo que estimaran conveniente sobre la perdida de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presentó alegaciones mediante escrito registrado el 23 de diciembre de 2013, en el que consideró que el Tribunal debería entrar al fondo de la pretensión ejercitada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 la acusación particular en el proceso a quo manifestó en escrito de 24 de diciembre de 2014 su no oposición a la declaración de pérdida de objeto del proceso, quejándose de la tardanza en la resolución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mediante escrito de 14 de enero de 2014, tampoco se opuso a tal declaración.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vista de la manifestación efectuada por la representación procesal del recurrente, se acordó otorgar un plazo de diez días a las partes personadas para que alegaran lo que a su derecho conviniera. Solamente el Ministerio Fiscal cumplimentó tal trámite, reiterando, mediante escrito de 10 de marzo de 2014, sus anteriores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reiterada doctrina (por todos, ATC 6/2013, de 14 de enero, que a su vez cita los AATC 43/1985, de 23 de enero; 243/2007, de 21 de mayo; 285/2008, de 22 de septiembre, y 287/2008, de 22 de septiembre), la desaparición sobrevenida del objeto es una de las formas de terminación del proceso constitucional iniciado por el recurso de amparo, cuando las circunstancias sobrevenidas con posterioridad a la presentación de la demanda hacen innecesario un pronunciamiento del Tribunal Constitucional al haberse modificado de manera sustancial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“como hemos declarado reiteradamente —así, STC 118/2007, de 21 de mayo, FJ 2— la desaparición sobrevenida del objeto del proceso, aun cuando no contemplada expresamente en el art. 86.1 LOTC, ha sido admitida por este Tribunal como forma de terminación de los distintos procesos constitucionales. En particular y en lo que ahora importa, es lo que sucede en los casos en los que, en el procedimiento que dio origen al recurso de amparo, los propios órganos judiciales han reparado las lesiones del derecho invocado en sede constitucional, (SSTC 305/2000, de 11 de diciembre, FJ 9; 13/2005, de 31 de enero, FJ 2; y ATC 30/2004, de 9 de febrero, FJ 3). De modo que, en estos supuestos, la demanda de amparo deja de tener objeto, toda vez que la reparación de la lesión del derecho fundamental por los propios órganos judiciales, antes de que este Tribunal dicte su decisión, priva de sentido al pronunciamiento sobre una vulneración ya inexistente, salvo que, como también hemos afirmado, a pesar de haber desaparecido formalmente el acto lesivo, debieran tenerse en cuenta otros elementos de juicio que continuaran haciendo precisa nuestra respuesta (SSTC 84/2006, de 27 de mayo, FJ 2; y 128/2006, de 24 de abril, FJ 2).” (STC 133/2007,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supuestos podemos recordar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ha desaparecido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258/1992, de 14 de septiembre), no cabe sino concluir, en principio, que éste carece desde ese momento de objeto sobre el que deba pronunciarse este Tribunal (por todos, ATC 156/2003, de 19 de mayo, FJ 5).” (ATC 286/2006, de 24 de julio, FJ 2). En todo caso conviene advertir que es preciso excluir todo automatismo en la respuesta, por lo que habrá que atender a las circunstancias particulares que concurren en cada caso (STC 305/2000, de 11 de diciembre,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los autos se desprende que por Auto de la Audiencia Provincial de Albacete de 14 de noviembre de 2013 se resolvió hacer extensiva la aplicación de la Sentencia del Tribunal Europeo de Derechos Humanos de 21 de octubre de 2013, por la similitud existente con las pretensiones del demandante de amparo. Y en consecuencia tomar como referencia el tope máximo de treinta años, para, a partir de él, hacer los descuentos que correspondan por redenciones, y acordar la libertad de la recurrente. En dicho Auto se acordó la inmediata puesta en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reconocía que las redenciones debían ser abonadas del tope máximo de treinta años. Precisamente esa fue la pretensión que el demandante sostuvo en su recurso de amparo. Habiéndose decretado la puesta en libertad del recurrente, de conformidad con lo dispuesto en los arts. 80 y 86.1 de la Ley Orgánica del Tribunal Constitucional (LOTC), en relación con el art. 22 de la Ley de enjuiciamiento civil, procede declarar la pérdida de objeto del presente recurso, en tanto que la continuación del proceso no satisface ningún interés.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por la pérdida de objeto del amparo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