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2512-2007, promovido por don Jesús Manuel García- Calvo Rodríguez, representado por la Procuradora de los Tribunales doña Victoria Brualla Gómez de la Torre y asistido por la Letrada doña Luisa Estévez Martínez, contra la denegación de la solicitud de prestación de viudedad resuelta por la Dirección Provincial de Madrid del Instituto Nacional de la Seguridad Social, con fecha de salida de 28 de marzo de 2005, revocada por la Sentencia de 3 de abril de 2006 del Juzgado de lo Social núm. 19 de Madrid, que declaró el derecho del demandante a percibir la pensión de viudedad que solicitaba, y contra la Sentencia de la Sección Cuarta de la Sala de lo Social del Tribunal Superior de Justicia de Madrid de 16 de febrero de 2007, que estimando el recurso de suplicación planteado por el Instituto Nacional de la Seguridad Social y la Tesorería General de la Seguridad Social revocó la Sentencia de instancia. Han comparecido y formulado alegaciones el Letrado de la Administración de la Seguridad Social, actuando en nombre y representación del Instituto Nacional de la Seguridad Social, y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20 de marzo de 2007, doña Victoria Brualla Gómez de la Torre, Procuradora de los Tribunales, en nombre y representación de don Jesús Manuel García-Calvo Rodríguez, interpuso recurso de amparo contra la denegación de la solicitud de prestación de viudedad acordada por la Dirección Provincial de Madrid del Instituto Nacional de la Seguridad Social (INSS), en resolución con fecha de salida de 28 de marzo de 2005, posteriormente revocada por la Sentencia de 3 de abril de 2006 del Juzgado de lo Social núm. 19 de Madrid, y contra la Sentencia de la Sección Cuarta de la Sala de lo Social del Tribunal Superior de Justicia de Madrid, de 16 de febrero de 2007, que estimando el recurso de suplicación planteado por el INSS y la Tesorería General de la Seguridad Social revocó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mantuvo una relación de pareja estable con el Sr. Belmonte desde 1975 hasta el fallecimiento de este último en el año 2004. Esta unión se encontraba inscrita en el registro de parejas de hecho de la Comunidad de Madrid desde el 15 de noviembre de 2000, formando una unión de las previstas en el art. 1 de la Ley 11/2001, de 19 de diciembre, de uniones de hecho de la Comunidad de Madrid, cumpliéndose los requisitos exigidos por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2 de marzo de 2005 presentó solicitud de pensión de viudedad, petición que le fue denegada por resolución de la Dirección Provincial del INSS de Madrid, con fecha de salida de 28 de marzo de 2005, por no tener la condición de cónyuge superviviente al no acreditar matrimonio con el fallecido, según lo dispuesto en el art. 174.1 de la Ley general de la Seguridad Social. Formulada reclamación previa, fue desestimada por resolución de 26 de mayo de 2005, “porque no existe ningún precepto en la actual normativa que considere viudo a la persona que estuviese conviviendo con 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30 de septiembre de 2005 articuló demanda en materia de Seguridad Social en reclamación de la referida pensión de viudedad. Fue estimada por Sentencia del Juzgado de lo Social núm. 19 de Madrid, de 3 de abril de 2006, que consideró que hasta la fecha del fallecimiento del causante no existía regulación legal que permitiera que las parejas del mismo sexo pudieran acceder al matrimonio, al no estar previsto en el Código civil hasta la modificación introducida en 2005, no concurriendo entonces libertad de elección; que el actor y el causante convivieron maritalmente, formalizando su unión con el único instrumento previsto en aquel momento, inscribiéndose a tal fin el registro de uniones de hecho de la Comunidad de Madrid, conforme a lo dispuesto en el art. 1 de la Ley 11/2001, de 19 de diciembre, de la Comunidad de Madrid; y, finalmente, que resultaba aplicable analógicamente al caso de autos lo dispuesto en la disposición adicional décima de la Ley 30/1981, de 7 de julio (Ley de divorcio), con relación a la disposición adicional primera de la Ley 13/2005, de 1 de julio, ya que se trataba de una unión estable de dos personas que habían convivido como matrimonio y que cabía presumir que tenían intención de contraer matrimonio pues se inscribieron en el registro de uniones de hecho de la Comunidad de Madrid, no habiendo podido concretar aquella intención al haber fallecido el causante antes de la entrada en vigor de la Ley 13/2005, de 1 de julio, que permite el matrimonio entre personas del mismo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decisión judicial, el Instituto Nacional de la Seguridad Social y la Tesorería General de la Seguridad Social formularon recurso de suplicación, que fue estimado por Sentencia del Tribunal Superior de Justicia de Madrid, de 16 de febrero de 2007. A juicio de la Sala, no resulta aplicable al caso de autos lo dispuesto en la disposición adicional décima de la Ley 30/1981, de 7 de julio, al ser una disposición provisional o transitoria prevista para casos concretos —distintos al enjuiciado— y anteriores a su entrada en vigor y que, en consecuencia, no tiene el propósito de regular situaciones futuras, como la analizada; esto es, no alberga el propósito de regular para el futuro y con carácter general el acceso a la pensión de viudedad de las parejas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afirma que se ha producido la vulneración del art. 14 CE porque en las uniones homosexuales la libre decisión de contraer matrimonio no ha existido hasta la publicación de la Ley 13/2005, de 1 de julio. Esto así, el recurrente no contó con la libertad de contraer matrimonio, razón por la que, una vez aprobada la Ley 13/2005, para evitar la lesión de aquel derecho fundamental, debe darse a las situaciones anteriores a su entrada en vigor el mismo trato que el derivado de la misma, reconociendo el derecho a percibir la pensión de viudedad.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2011, la Sala Segunda de este Tribunal acordó la admisión a trámite de la demanda de amparo, solicitando la certificación o fotocopia adverada de las actuaciones a los órganos judiciales que intervinieron en el proceso judicial,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Administración de la Seguridad Social, en nombre y representación del Instituto Nacional de la Seguridad Social, se personó en este proceso constitucional mediante escrito de 17 de octubre de 2011, dictándose diligencia de ordenación de 2 de noviembre de 2011 que lo tiene por personado en la representación que ostenta, dando asimismo vista de las actuaciones recibidas a las partes personadas y al Ministerio Fiscal para que pudieran presentar las alegaciones que estimasen pertinentes, conforme determina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Administración de la Seguridad Social formuló alegaciones mediante escrito de 18 de noviembre de 2011, planteando como cuestión previa la inadmisión del recurso de amparo por falta de agotamiento de los recursos procedentes contra la resolución judicial recurrida, conforme a lo previsto en el art. 50.1 a) LOTC, en relación con el art. 44.1 a) de la misma Ley, por cuanto debería haberse planteado recurso de casación para la unificación de doctrina. En cuanto al fondo del recurso de amparo, razona que no existe infracción del art. 14 CE, toda vez que el recurrente compara supuestos de hecho distintos pretendiendo sobre ellos una igualdad de trato, derecho que no ampara el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alegaciones mediante escrito de 9 de diciembre de 2011. Sostiene, refiriéndose a la disposición adicional décima de la Ley 30/1981, de 7 de julio, y a la situación regulada en la adicional primera de la Ley 13/2005, de 1 de julio, que “si el legislador ha reconocido con carácter retroactivo el derecho a una prestación de Seguridad Social en base a la existencia de una causa impeditiva del matrimonio (el ligamen o vínculo previo), el supuesto que el ahora recurrente ofrece resulta ser exactamente el mismo, ya que se trata también de una anterior causa impeditiva para contraer matrimonio, que ahora ha desaparecido”, razón por la cual procedería el otorgamiento del amparo por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mediante escrito de 9 de diciembre de 2011, el recurrente evacuó el trámite ratificando, en esencia, las alegaciones realizadas en el escrito de demanda, que desarrolla con mayor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julio de 2014,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resoluciones impugnadas la vulneración de sus derechos fundamentales a la igualdad y a la no discriminación (art. 14 CE). Afirma que en las uniones homosexuales la libre decisión de contraer matrimonio no ha existido hasta la publicación de la Ley 13/2005, de 1 de julio, por lo que, una vez aprobada dicha Ley, para evitar la lesión denunciada, debe darse a las situaciones anteriores a su entrada en vigor el mismo trato que deriva de la misma, reconociendo el derecho a percibir la pensión de viudedad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Nacional de la Seguridad Social, por su parte, interesa la desestimación del recurso, objetando con carácter previo y en términos de inadmisibilidad la falta de agotamiento de la vía judicial previa [art. 50.1 a) en relación con el art. 44.1 a) de la Ley Orgánica del Tribunal Constitucional: LOTC]. El Ministerio Fiscal solicita el otorgamiento del amparo de acuerdo con las razones que han sido recogidas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del fondo de lo planteado, es preciso analizar el óbice procesal de la falta de agotamiento de la vía judicial previa que denuncia el Letrado del Instituto Nacional de la Seguridad Social, por no haberse formalizado recurso de casación para la unificación de doctrina contra la Sentencia dictada en suplicación y ahora impugnada [arts. 50.1 a) y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exigibilidad de la interposición del recurso de casación para la unificación de doctrina, como requisito para el agotamiento de la vía judicial previa, ha sido examinada por la doctrina de este Tribunal, que ha subrayado que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(por ejemplo, STC 29/2013, de 11 de febrero, FJ 3). Es igualmente cierto, conforme a esa misma doctrina, que corresponde a quien pretende hacer valer su no interposición como motivo de inadmisibilidad acreditar la posibilidad de recurrir a esta extraordinaria vía en el supuesto concreto (por todas, STC 221/2012, de 26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Letrado de la Administración de la Seguridad Social invoca dicho óbice procesal, pero no cumple con la carga señalada anteriormente, por lo que la objeción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dar respuesta a las quejas planteadas en la demanda de amparo, debemos remitirnos a lo dicho por este Tribunal en la reciente Sentencia 92/2014, de 10 de junio, que resolvió la cuestión interna de inconstitucionalidad núm. 693-2013, a la que se ha hecho referencia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ante las dudas de constitucionalidad sobre el art. 174 de la Ley general de la Seguridad Social (LGSS) en relación a la prohibición de discriminación contenida en el art. 14 CE, se planteó, en virtud del art. 55.2 LOTC, una cuestión de inconstitucionalidad que ha sido resuelta en la citada STC 92/2014, de 10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artículo 174 de la Ley general de la Seguridad Social, en la redacción dada por el art. 32.1 de la Ley 50/1998, de 30 de diciembre,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 derecho a la pensión de viudedad, con carácter vitalicio, salvo que se produzca alguno de los casos de extinción que legal o reglamentariamente se establezcan, el cónyuge superviviente cuando, al fallecimiento de su cónyuge, éste, si al fallecer se encontrase en alta o situación asimilada a la de alta, hubiera completado el período de cotización que reglamentariamente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causa de su muerte fuese un accidente, sea o no de trabajo, o una enfermedad profesional, no se exigirá ningún período previo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tendrá derecho a la pensión de viudedad el cónyuge superviviente aunque el causante, a la fecha de fallecimiento, no se encontrase en alta o en situación asimilada a la de alta, siempre que el mismo hubiera completado un período mínimo de cotización de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 dicha Sentencia, FJ 5, que “la eventual contradicción, por parte del precepto sometido a nuestro enjuiciamiento, con el derecho a la no discriminación por razón de orientación sexual que proscribe el segundo inciso del artículo 14 CE, se circunscribe a un aspecto concreto, cual es que solamente los cónyuges podrían ser beneficiarios de la pensión de viudedad y, en consecuencia, a los miembros de parejas de hecho homosexuales les estaba vedado acceder a esa prestación, puesto que, con anterioridad a la entrada en vigor de la Ley 13/2005, aquéllos no podían contraer vínculo matrimonial”. En ese mismo fundamento recordamos que “la posibilidad de contraer o no matrimonio ha sido un aspecto de especial significación para la doctrina constitucional, a la hora de enjuiciar supuestos en que el ordenamiento jurídico brindaba a los cónyuges un tratamiento más favorable que el dispensado a las parejas de hecho, incluidos los casos relacionados con prestaciones de la Seguridad Social”, destacando que las diferencias entre una y otra situación podían “ser legítimamente tomadas en consideración por el legislador a la hora de regular las pensiones de supervivencia (STC 184/1990, de 15 de noviembre, FJ 3)”, “pero también que la existencia de libertad para contraer matrimonio es un factor que permite justificar, adicionalmente, ese distinto tratamiento (por todas, STC 184/1990, de 15 de noviembre, y más recientemente AATC 188/2003, de 3 de junio; 47/2004, de 10 de febrero; 77/2004, de 9 de marzo; 177/2004, de 11 de mayo, o 203/2005,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implica, sin embargo, que “en cualquier situación en que los convivientes more uxorio se vean impedidos de contraer matrimonio, tal eventualidad deba engendrar una obligación, a cargo de los poderes públicos, de brindar a los miembros de parejas de hecho un tratamiento jurídico equiparado al previsto para los cónyuges pues, en caso de no existir tal libertad, es necesario valorar si la causa impeditiva del matrimonio pugna con los principios y reglas constitucionales, de manera que este Tribunal deberá comprobar si las causas que hipotéticamente lo impiden resultan constitucionalmente admisibles”, conclusión que se fundamenta en la doctrina de la STC 180/2001,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lo anterior, en el fundamento jurídico 6 de la STC 92/2014, ya citada, examinamos si la causa que en aquel supuesto limitaba la libertad de contraer el vínculo matrimonial contrariaba o no con los principios y reglas constitucionales. Así, con cita del ATC 222/1994, de 11 de julio, señalamos que “la exigencia del vínculo matrimonial como presupuesto para acceder a la pensión de viudedad establecida dentro del sistema de Seguridad Social no pugna con el art. 14 CE, ni tampoco las medidas de los poderes públicos que otorguen un trato distinto y más favorable a la unidad familiar basada en el matrimonio que a otras unidades convencionales (SSTC 184/1990 y 66/1994)”, a la par que recalcamos el amplio margen de apreciación y configuración del legislador en cuanto al régimen de prestaciones económicas de la Seguridad Social y las situaciones que han de considerarse merecedoras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indicamos que “[d]entro de ese amplio margen de apreciación, el legislador en la LGSS de 1994 decidió perfilar una pensión de viudedad que si bien, como este Tribunal ha tenido ocasión de señalar, no responde a la existencia de una situación de necesidad, sino “a la compensación de un daño cual es la falta o minoración de unos ingresos de los que participaba el cónyuge supérstite y, en general, afrontar las repercusiones económicas causadas por la actualización de una contingencia (la muerte de uno de los cónyuges)” (STC 41/2013, de 14 de febrero, FJ 4), queda limitada a los supuestos en los que existe un vínculo matrimonial entre causante y beneficiario como forma singular de protección de la unión familiar que cumple con determinados requisitos legales, que son los del matrimonio. No estaba, pues, entonces concebida la pensión de viudedad como una institución llamada, sin más, a compensar el daño de la minoración de ingresos sufrida por el superviviente de una pareja, sino a compensar ese daño cuando se producía en el ámbito de la familia sustentada en el previo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uniones de hecho heterosexuales resultaban excluidas del acceso a la pensión porque pudiendo acceder al matrimonio decidían libremente no hacerlo y, por tanto, no cumplir con los requisitos legales, debiendo, por tanto, correr con las consecuencias de ello (STC 184/1990, FJ 1). Las uniones homosexuales quedaban fuera de la esfera de protección porque la configuración del matrimonio en aquel momento —lo que habría de cambiar después— era una configuración clásica o tradicional del mismo, que respondía a la idea de que uniones homosexuales y heterosexuales tenían una funcionalidad distinta dentro de la sociedad. Conviene recordar a estos efectos que, como tuvimos ocasión de señalar, la extensión de la pensión de viudedad a quienes convivían de forma estable extramatrimonialmente estaba lejos de ser la pauta en la legislación internacional y en el Derecho comparado en aquel momento (STC 184/1990, FJ 5). Es más, el Tribunal Europeo de Derechos Humanos que tuvo ocasión de pronunciarse, en el caso Mata Estévez c. España, sobre la conformidad al derecho a la igualdad y a la no discriminación del sistema español que vinculaba el acceso a la pensión de viudedad a la previa existencia de vínculo matrimonial, afirmó, en su Sentencia de 10 de mayo de 2001, que tal regulación no era discriminatoria puesto que perseguía un fin legítimo —“a saber, la protección de la familia fundada en los vínculos del matrimonio”— y existía una relación razonable de proporcionalidad entre los medios empleados y el fin en cuestión. El Tribunal estimó, pues, que el trato diferenciado dispensado a las relaciones homosexuales entraba dentro del legítimo margen de apreciación del Estado. Idea que ha reiterado más recientemente, en su Sentencia de 24 de junio de 2010 (caso Schalk and Kopf c. Austria, § 108), en la cual, y ante la alegación de los demandantes de que si se ofrece a las parejas de un mismo sexo un medio de reconocimiento alternativo al matrimonio, el Estado está obligado a otorgarles un estatus que se corresponda a todos los efectos con el propio de la institución matrimonial, el Tribunal afirma no compartir ese argumento, al entender que “los Estados disfrutan de un cierto margen de apreciación respecto de la situación concreta derivada de los medios alternativos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concluimos, en ese mismo fundamento jurídico 6, que “[h]a de ser, por tanto, el legislador —en modo alguno este Tribunal actuando de legislador positivo retrospectivo y comprometiendo desembolsos económicos del erario público— el que, en su caso, decida, al hilo de los cambios sociales, cuál es el momento en que procede extender la pensión de viudedad a otros supuestos y con qué alcance. Así lo ha hecho el legislador con posterioridad, tanto con la regulación del matrimonio homosexual en la Ley 13/2005, de 1 de julio, por la que se modifica el Código civil en materia de derecho a contraer matrimonio, lo que permite a los cónyuges supervivientes de matrimonios homosexuales solicitar la correspondiente pensión de viudedad, como con la Ley 40/2007, de 4 de diciembre, que extiende este beneficio, con ciertas limitaciones y requisitos, a todas las parejas de hecho estables, tanto heterosexuales como homosexuales, previendo, además, en su disposición adicional tercera, su aplicación a situaciones acaecidas con anterioridad a su entrada en vigor. Una decisión de política legislativa ciertamente legítima (STC 41/2013, FJ 3), como también lo era, no obstante, la anterior, que ninguna tacha ofrecía, por las razones ya expuestas, desde la perspectiva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precedente doctrina al caso concreto que ahora se nos plantea conduce directamente a considerar que no es posible apreciar la denunciada vulneración del art. 14 CE, en ninguno de sus planos (incisos primero y segundo del precepto), lo que ha de conducir 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desestimación del presente recurso de amparo, debemos añadir que, eliminado el requisito contenido en el apartado c) de la disposición adicional tercera de la Ley 40/2007 por nuestra Sentencia 41/2013, antes citada, queda a salvo para el solicitante de amparo la facultad de reclamar el reconocimiento de la prestación allí regulada, previa acreditación del cumplimiento de los restantes requisitos legalmente exigibles, pues si bien es cierto que en dicha Sentencia afirmamos que la declaración de nulidad que en ella hicimos “no permite que quienes, por no haber tenido hijos en común con el causante, no solicitaron la pensión de viudedad prevista en la disposición adicional tercera de la Ley 40/2007 en el plazo de doce meses siguientes a la entrada en vigor de dicha Ley, puedan reclamar ahora la pensión”. Esta declaración se formuló en atención a quienes, teniendo en cuenta lo dispuesto en dicha Ley, no cuestionaron su aplicación; de la misma manera, la declaración que dicha Sentencia hace a continuación, respecto a que la nulidad acordada no permite, claro está, revisar procesos fenecidos mediante Sentencia de cosa juzgada en los que se haya hecho aplicación de lo dispuesto en la letra c) de la referida disposición adicional, supone un aquietamiento frente a una decisión jurisdiccional contra la que habrían podido recurrir en amparo aduciendo los mismos motivos que determinaron su anulación por nuestra Sentencia 41/2013.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esto mismo, esas razones no pueden oponerse en el supuesto contemplado en este recurso de amparo en el que el recurrente sí acudió a este Tribunal en una fecha anterior a la promulgación de la Ley 40/2007, aduciendo unos motivos que, de haber prosperado, habrían hecho innecesaria la reacción frente a esta última Ley, por lo que es razonable suponer que el abandono de las vías posibles de reacción contra ella no se debió a la aceptación pasiva de su contenido sino a la razonable confianza de que el recurso de amparo interpuesto por él hubiera sido resuelto de un modo favorable a sus intereses o que, en caso de que hubiera sido desfavorable, el recurso se hubiera resuelto en un plazo en que quedaran al menos abiertas las vías para reaccionar frente a la previsión contenida en la disposición adicional tercera de la Ley 40/2007.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y la Magistrada doña Adela Asua Batarrita respecto de la Sentencia dictada en el recurso de amparo núm. 2512-2007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del Tribunal, debemos manifestar nuestra discrepancia con la Sentencia dictada.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la desestimación del recurso de amparo se basa en la argumentación plasmada en la STC 92/2014, de 10 de junio, en la que el Pleno de este Tribunal ha desestimado la cuestión interna de inconstitucionalidad núm. 693-2013, nos remitimos a los argumentos expuestos en el Voto particular formulado por don Luis Ignacio Ortega Álvarez a dicha Sentencia al que entonces nos adherimos, que, a fin de evitar repeticiones innecesarias, damos aquí por reproducido.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se emite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julio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