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5632-2013, promovido por don Miguel Ángel Barrera Valderas, representado por el Procurador don Argimiro Vázquez Guillén y asistido por el Abogado don Francisco-Pablo García-Minguillán Posada, contra el Auto de fecha 17 de julio de 2013, dictado por la Sección Segunda de la Audiencia Provincial de Ciudad Real, en cuya virtud se desestimó el recurso de súplica interpuesto contra el Auto de fecha 4 de junio de 2013, que rechazó la solicitud de prescripción de la pena de prisión que dio lugar a la ejecutoria 17-2001.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2 de octubre del 2013, don Argimiro Vázquez Guillén, Procurador de los Tribunales, en nombre y representación de don Miguel Ángel Barrera Valderas,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 fecha 2 de marzo de 1999, dictada por la Sección Segunda de la Audiencia Provincial de Ciudad Real, don Miguel Ángel Barrera Valderas fue condenado, junto con otros acusados, como autor de un delito de robo con violencia previsto en los arts. 237 y 242 1 y 2 del Código penal (CP), a la pena de tres años y seis meses de prisión. Asimismo, fue condenado, como autor de una falta de lesiones tipificada en el art. 617.1 CP, a la pena de seis arrestos de fin de semana. Dicha Sentencia fue declarada firme por Auto de fecha 23 de mayo de 2001, incoándose la ejecutoria núm. 17-2001, una vez fue resuelto el recurso de casación deducido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fecha 16 de octubre de 2001 se acordó suspender la ejecución de la pena de prisión durante la tramitación del indulto que el demandante había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Real Decreto 1031/2005, de 26 de agosto (“BOE” de 17 de septiembre de 2005), a propuesta del Ministro de Justicia y previa deliberación del Consejo de Ministros, se acordó lo siguiente: “Vengo a conmutar a don Miguel Ángel Barrera Valderas las penas privativas de libertad impuestas por otra de dos años de prisión, a condición de que satisfaga las responsabilidades civiles, no abandone el tratamiento que tiene iniciado hasta alcanzar la total rehabilitación y no vuelva a cometer delito doloso en el plazo de cuatro años desde la publicación de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virtud de Auto de fecha 27 de diciembre de 2005, al demandante le fue concedido el beneficio de la suspensión de la ejecución de la pena de prisión por un período de cuatro años. Dicha resolución le fue notificada personalmente el día 11 de enero de 2006, haciéndose constar, en el acta de notificación, que el beneficio otorgado quedaba condicionado a que durante el período de cuatro años no volviera a delinquir, pues, en caso contrario, se revocaría el beneficio y se cumpliría las pena suspendida condicionalmente.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Sentencia de fecha 12 de mayo de 2010, dictada por el Juzgado de lo Penal número 1 de Córdoba, el demandante resultó condenado como autor de un delito contra la salud pública. El delito que motivó la condena fue cometido el 24 de abril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fecha 27 de diciembre de 2010, la Sección Segunda de la Audiencia Provincial de Ciudad Real acordó la revocación de la suspensión de la ejecución de la pena de prisión que dio lugar a la ejecutoria 17-2001, al haber tenido conocimiento de la condena del demandante por el Juzgado de lo Penal número 1 de Córdoba. Frente a la anterior resolución, el demandante interpuso recurso de súplica, que fue desestimado por Auto de fecha 23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resolución de fecha 10 de febrero de 2011, el Tribunal acordó que la reforma del Código Penal operada por la Ley Orgánica 5/2010 no afecta a la pena de prisión impuesta al demandante por el delito de robo y, consecuentemente, no procede revisar la referida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fecha 28 de julio de 2011, el órgano judicial desestimó la petición del demandante, relativa a la concesión de la suspensión de la ejecución de la pena por razón de enfermedad muy grave con padecimientos incurables (art. 80.4 CP). Esta resolución fue confirmada tras la desestimación, por Auto de fecha 3 de febrero de 2012, del recurso de súplica deducido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el recurrente no ingresó voluntariamente en un centro penitenciario, para así cumplir la pena de prisión que dio lugar a la ejecutoria 17-2001, por Auto de fecha 16 de octubre de 2012 se acordó su búsqueda, detención e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escrito de fecha 18 de abril de 2013, el demandante interesó que se acordara la prescripción de las penas que dieron lugar a la ejecutoria antes indicada. En apoyo de esa petición argumentó que había transcurrido, desde la fecha de firmeza de la Sentencia, el plazo de prescripción previsto en el art. 133 CP para las penas menos graves, a saber, cinco años. Dicha petición fue desestimada por Auto de fecha 4 de junio de 2013. En el fundamento jurídico único de la citada resolución figura el siguiente razonamiento: “Examinado el contenido del escrito del penado, sólo se puede responder que, efectivamente, el contenido del art. 133 del C. Penal, es el que se transcribe y que, efectivamente, el art. 134 del mismo texto especifica el inicio del plazo, que lo es a partir de la fecha de la sentencia firme. Mas, como bien informa el Ministerio Fiscal, dicha resolución, Sentencia, en cuanto a su ejecución fue sustituida por la suspensión, se le otorgó al penado un beneficio sustitutivo del cumplimiento de dicha sentencia, resolución de fecha 27 de diciembre del año 2005, beneficio que hubo que revocar en el año 2010 por volver a delinquir, fecha desde la cual, mediante diversos recursos, el penado ha impedido la ejecución. Es claro, por consiguiente, que las resoluciones reseñadas han sido, como bien informa el Ministerio Público, resoluciones sustitutivas de la ejecución y que han determinado por ello, desde su dictado el cómputo del plazo prescriptivo. La petición ha de ser desestimada, procediéndose a ejecutar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el penado había sido detenido y puesto a disposición de la Sección Segunda de la Audiencia Provincial de Ciudad Real el día 4 de junio de 2013, en la parte dispositiva del calendado Auto la Sala acordó: “Desestimar la declaración de prescripción solicitada por la representación del penado, debiéndose proceder a la ejecución de la pena impuesta. Legalícese su situación librándose exhorto al Juzgado de Guardia de Alicante, a fin de que se expida el correspondiente mandamiento de ingreso en prisión, expresivo de que el indicado deberá quedar en calidad de penado a disposición de este órgano judicial, para el cumplimiento de la pena impuesta en la presente causa. Remítase testimonio de la sentencia, del Auto de fecha 16-10-2012 y copia del presente. Queda sin efecto la orden de búsqueda, detención e ingreso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fecha 7 de junio del 2013, el recurrente interpuso recurso de súplica frente a la desestimación de la solicitud de prescripción de la pena. En síntesis, el demandante alegó que, como la Sentencia condenatoria adquirió firmeza el 23 de mayo de 2001 las penas impuestas habían prescrito el 23 de mayo de 2006, una vez transcurrido el plazo de cinco años que el art. 133 CP establece para las penas menos graves. Asimismo, indicó que la resolución recurrida lesiona del derecho a la tutela judicial efectiva (art. 24.1 CE), a la libertad personal (art. 17.1 CE) y a la legalidad en materia penal (art. 25.1 CE). En apoyo de su pretensión, el demandante argumentó que la norma penal de aplicación (art. 134 CP) no contempla causas de interrupción de la prescripción de penas, y que, en esa materia, no caben interpretaciones analógicas in malam partem, como así lo reconoce la doctrina constitucional (STC 97/2010,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alegó que, incluso si se aceptara que la suspensión de la ejecución de la pena interrumpe la prescripción, al haber delinquido el 24 de abril de 2008, a partir de esta última fecha debería reiniciarse el cómputo de la prescripción y, por tanto, desde el 24 de abril de 2013 la pena de prisión habría prescrito por el transcurso de los cinco años que el art. 133 CP fija para las penas menos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decreto de 8 de julio de 2013 se aprobó la liquidación de la pena de prisión impuesta al demandante, con fecha de inicio el 4 de junio del 2013 y fecha de cumplimiento para el 20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Auto de fecha 17 de julio de 2013 se desestimó el recurso de súplica deducido por el demandante. En relación con la petición de prescripción de la pena de prisión, el Tribunal dispensó la siguiente argumentación: “La súplica ha de ser claramente desestimada en base a lo siguiente: en primer lugar se ha de recordar la especial naturaleza que asiste al instituto de la suspensión de las penas privativas de libertad, que es una forma de ejecución de las mismas. En efecto, el inicio del plazo del cómputo prescriptivo de las penas aparece determinado en el art. 134 del C. Penal, en clara referencia al momento de la firmeza de la sentencia firme, si bien dicha declaración requiere de las siguientes precisiones, a saber: A) dicha remisión al momento de la firmeza de la sentencia implica, como lógico antecedente, la apriorística posibilidad de que el ordinario cumplimiento de la pena no venga impedido ‘de iure’ por la existencia de un modo o forma de ejecución alternativo, cual es la suspensión de la propia ejecución ordinaria, arts. 80 y siguientes del C. Penal, por cuanto que NUNCA SE PUEDE PRESCRIBIR UNA PENA QUE SE ESTÁ CUMPLIENDO; B) será en los supuestos de revocación de este beneficio cuando REAPAREZCA el régimen ordinario de prescripción de la pena, pero con la evidente remisión, como dies a quo para el inicio del cómputo, al de la revocación de tal beneficio o, incluso al de la efectiva constatación al Tribunal del hecho motivador de la revocación. Es a la suma y como conclusión de lo expuesto, el iniciar el cómputo de prescripción conforme al art. 134 del C. Penal, el del momento de quebrantamiento de la condena, ya que la suspensión de la ejecución de la pena supone una forma extraordinaria de ejecución de la misma, y el incumplimiento de una de sus condiciones, un quebrantamiento de dicha condena. No habiendo transcurrido desde que se revocó la suspensión el plazo de cinco años, la prescripción no puede ser apreciada. Procede en cambio, como informa el M. Fiscal, apreciar la prescripción de la pena impuesta por la falta de lesiones de seis fines de semana de arresto”.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En fecha 29 de julio de 2013, el demandante interpuso incidente de nulidad de actuaciones, a cuyo través denunció la vulneración del derecho a la tutela judicial efectiva en relación con el derecho a la libertad y el derecho a la legalidad penal (arts. 24.1, 17.1 y 25.1 CE). Tras reproducir el contenido del recurso de súplica y de la fundamentación jurídica del Auto desestimatorio del citado recurso, el recurrente considera que, si bien la interpretación realizada por el órgano judicial no puede ser tildada de irrazonable o arbitraria, sin embargo supone una extensión analógica y extensiva, en perjuicio del reo, que es incompatible con la doctrina constitucional atinente a la prescripción de las penas, para finalmente colegir que la denegación de la prescripción acordada conculca los derechos fundamentales invocados anteriormente. Por diligencia de ordenación de fecha 6 de noviembre de 2013 se confirió traslado para alegaciones al Ministerio Fiscal y al recurrente, quienes evacuaron dicho trámite el 20 y 22 de noviembre, respectivamente. Finalmente, el incidente fue inadmitido por providencia de fecha 30 de diciembre de 2013, al considerar que el promotor del mismo se limita a reproducir cuestiones de fondo ya resueltas.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don Miguel Ángel Barrera Valderas alega la vulneración del derecho a la tutela judicial efectiva (art. 24.1 CE) en conexión con el derecho a la libertad (art. 17.1 CE) y a la legalidad en materia penal (art. 25.1 CE). Tras compendiar los acontecimientos procesales de relieve acaecidos en la ejecutoria 17-2001, de la Sección Segunda de la Audiencia Provincial de Ciudad Real, trae a colación la doctrina recogida, entre otras, por las SSTC 29/2008, de 20 de febrero; 37/2010, de 19 de julio; 97/2010, de 15 de noviembre; y 109/2013, de 6 de mayo, de cuyo contenido colige que en materia de prescripción no caben interpretaciones analógicas in malam partem, de manera que los términos en que el instituto de la prescripción viene regulado deben ser interpretados con particular rigor, en tanto que perjudiquen al reo, lo que excluye la posibilidad de apreciar interrupciones en el ámbito de la prescripción de la pena que no están previstas en la legislación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demandante refuta la idea de que la suspensión de la ejecución interrumpa la prescripción de la pena, so pretexto de ser considerada una modalidad alternativa de ejecución o cumplimiento o, en su caso, como una ejecución sustitutiva, pues es evidente que suspender el cumplimiento y cumplir distan de ser la misma cosa, salvo que se lleve a cabo una interpretación en perjuicio del reo. En definitiva, el demandante considera que la Sección Segunda de la Audiencia Provincial de Ciudad Real ha creado una causa de interrupción de la prescripción no prevista en el art. 134 CP, lo que vulnera los derechos fundamentales indicados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interesa que se declare la vulneración de derecho fundamental a la tutela judicial efectiva (art. 24.1CE), en relación con el derecho a libertad (art. 17.1 CE), y legalidad penal (art. 25.1 CE). Asimismo, solicita la declaración de nulidad de los Autos de fecha 4 de junio y 17 de julio de 2013, con retroacción de las actuaciones al momento inmediatamente anterior al dictado de la primera de las resoluciones, a fin de que se dicte otra respetuosa con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ser acreditada en forma la fecha de notificación de la resolución recurrida en amparo, por providencia de 27 de marzo del 2014 la Sala Segunda de este Tribunal dispuso la admisión a trámite de la demanda de amparo y, en aplicación de lo previsto en el art. 51 de la Ley Orgánica del Tribunal Constitucional (LOTC), acordó dirigir atenta comunicación al órgano judicial para que, en el plazo de diez días, remitiera certificación o copia adverada de la ejecutoria 17-2001 y, al propio tiempo, se emplazará a quienes fueran parte en el referido procedimiento, con excepción del recurrente en amparo, para que en el plazo indicado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acreditada en forma la representación del demandante por el Procurador don Argimiro Vázquez Guillén, por diligencia de ordenación de trece de mayo de 2014 se acordó dar vista de las actuaciones a la parte recurrente y al Ministerio Fiscal por el plazo común de veinte días, dentro del cual podrán presentar las alegaciones que estimen pertinentes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9 de junio de 2014, el Ministerio Fiscal presentó sus alegaciones. Tras recopilar las principales actuaciones procesales de la ejecutoria 17-2001 de la Sección Segunda de la Audiencia Provincial de Ciudad Real, con especial reflejo de la fundamentación jurídica de los Autos impugnados en el presente recurso, en primer lugar destaca que la demanda de amparo fue interpuesta con anterioridad a la resolución del incidente de nulidad de actuaciones. Sobre este particular, el Fiscal considera que siendo incuestionable que el recurso de amparo se interpuso en fecha anterior al agotamiento de la vía judicial, también consta que el incidente de nulidad de actuaciones fue resuelto tardíamente. Por ello, ante la diversidad de criterios mantenidos por los órganos judiciales acerca de la pertinencia del incidente de nulidad de actuaciones, lo que pudo suscitar dudas en el demandante acerca de la necesidad de su interposición para entender correctamente agotada la vía judicial, unido al desmesurado plazo empleado para la resolución del referido incidente y que la demanda de amparo fue interpuesta dentro del plazo de treinta días, contados desde la notificación del Auto resolutorio del recurso de súplica, concluye que podría considerarse que no concurre causa de inadmisión por falta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el Fiscal lleva a cabo un detallado repaso de la doctrina constitucional establecida en torno a la prescripción de las penas, con cita expresa de la STC 49/2014, en la cual se recogen las líneas maestras establecidas por el Tribunal Constitucional, respecto del control externo que a este órgano le corresponde verificar sobre las resoluciones judiciales dictadas en materia de prescripción penal. Asimismo, trae a colación el contenido de la consulta 1/2012, de la Fiscalía General del Estado, en la que se sostiene que la suspensión de la ejecución de la pena regulada en los arts. 80 a 87 CP es una forma de cumplimiento sustitutivo de las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fundamentación esgrimida por el demandante, el Fiscal argumenta lo siguiente: “Este Ministerio Fiscal no comparte la alegación del demandante referida a que la suspensión de la ejecución de la pena carezca de todo efecto en la ejecución penal, aceptando, por el contrario, la tesis sostenida en los autos recurridos de que se trata de una forma de ejecución y que ha sido considerada respetuosa con los derechos fundamentales a presencia por la STC de fecha 24 de mayo, dictada en el RA 2643/2013, pero ello no comporta que la demanda deba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indica que los Autos impugnados consideran que la resolución que otorga el beneficio de la suspensión interrumpe la prescripción y, además, sostienen que el plazo prescriptivo vuelve a correr desde que se acuerda la revocación de dicho beneficio. Sobre este este último aspecto el Fiscal discrepa del criterio seguido por el órgano judicial, pues el Tribunal toma en consideración tres posibles eventos; a saber: el de la revocación de la suspensión, el de la constatación del hecho motivador de la revocación y el de la comisión del hecho delictivo, decantándose finalmente por el primero de los criterios citados que es, a juicio del Fiscal, el más perjudicial para el demandante y el que depende, en mayor medida, de la prontitud en el dictado de la resolución revocatoria. También afirma que la interpretación que patrocina el Tribunal no se acomoda al tenor literal del art. 134 CP, que se refiere expresamente al quebrantamiento como factor determinante de la reanudación de la prescripción, ni al criterio sustentado por el Tribunal Supremo en las Sentencias 2811/2012 y 952/2004. Finalmente, colige que la fundamentación ofrecida no satisface la exigencia constitucional de motivación de las resoluciones judiciales que abordan cuestiones que afectan a los derechos fundamentales y, por todo ello, interesa que se declare la vulneración de derecho fundamental a la tutela judicial efectiva (art. 24.1 CE), en relación con el derecho a libertad (art. 17.1 CE), y legalidad penal (art. 25.1 CE). También solicita que se declare la nulidad de los Autos impugnados y la retroacción de las actuaciones al momento inmediatamente anterior al dictado de la primera de las resoluciones, a fin de que se dicte otra respetuosa con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fecha 16 de junio de 2014, el demandante presentó sus alegaciones, en cual sustancialmente ratificó contenido del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4 de septiembre de 2014, se acordó señalar para deliberación, votación,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fecha 4 de junio de 2013, en virtud del cual la Sección Segunda de la Audiencia Provincial de Ciudad Real desestimó la solicitud de prescripción de la pena de prisión que dio lugar a la ejecutoria 17-2001, y contra el Auto de fecha 17 de julio de 2013, que desestimó el recurso de súplica interpuesto contra la primera resolución indicada. Para el demandante, sendas resoluciones vulneran el derecho a la tutela judicial efectiva (art. 24.1 CE), en conexión con el derecho a la libertad personal (art. 17.1 CE) y el derecho a la legalidad en materia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la concesión de la suspensión de la ejecución de la pena no puede ser considerada una modalidad de ejecución alternativa, pues, bajo ningún concepto puede equipararse la suspensión del cumplimiento con el cumplimiento mismo de la pena. Por ello, la concesión del citado beneficio no debe impedir el transcurso del plazo de prescripción conforme a lo dispuesto en el art. 134 del Código penal (CP), conforme al criterio asentado por la doctrina constitucional relativa a la prescripción de las penas y, por tanto, el órgano judicial ha realizado una interpretación extensiva in malam partem de los preceptos penales de aplicación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cabría no apreciar el óbice de falta de agotamiento de la vía judicial previa, dadas las dudas que el demandante pudo tener acerca de la pertinencia de entablar incidente de nulidad, la excesiva demora en la resolución del incidente referido y que, finalmente, el recurso de amparo se interpuso dentro de los treinta días siguientes a la notificación del Auto desestimatorio del recurso de súplica. En cuanto al fondo, discrepa de la argumentación ofrecida por el recurrente pues, según afirma, la suspensión de la ejecución de la pena sí constituye una modalidad de ejecución alternativa que, durante su vigencia, impide que operen los plazos de prescripción estatuidos por el Código penal, como así lo ha venido a reconocer la STC 81/2014, de 28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considera que el criterio seguido por el órgano judicial en relación con el inicio de la prescripción a raíz de la comisión de un nuevo delito, a saber, la fecha de revocación de la suspensión de la ejecución, no es respetuoso con los derechos fundamentales invocados por el demandante, pues ese criterio es el más perjudicial para el penado y, además, no satisface el canon de motivación exigido por la doctrina constitucional cuando están afectados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Señala el Fiscal que el recurso de amparo fue interpuesto cuando aún no había sido resuelto el incidente de nulidad de actuaciones deducido por el demandante en sede judicial. Ese dato queda palmariamente acreditado en las actuaciones remitidas por el órgano judicial, puesto que el incidente de nulidad, interpuesto el 29 de julio de 2013, se resolvió el 30 de diciembre del citado año, mientras que la demanda de amparo se presentó el día 2 de octubre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puede pronunciarse en el trámite actual sobre la eventual concurrencia de causas de inadmisión. Como recordamos en el fundamento jurídico 2 de la STC 76/2009, de 23 de marzo,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(por todas, SSTC 99/1993, de 22 de marzo, FJ único; 201/2000, de 24 de julio, FJ 2; 85/2004, de 10 de mayo, FJ 2; y 220/2008, de 31 de enero, FJ 3)”. Esta doctrina resulta particularmente oportuna al caso, puesto que ni en la demanda de amparo ni en el escrito de alegaciones el demandante informó acerca de la pendencia de resolución del incidente de nulidad de actuaciones, por lo que dicha circunstancia no pudo ser advertida por este Tribunal en el trámite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Llegados a este punto, procede traer a colación la doctrina establecida por este Tribunal sobre el carácter prematuro del recurso de amparo, cuando el referido recurso se interpone sin que la vía judicial esté agotada. Como afirmamos en la STC 32/2010, de 8 de julio, FJ 2, “[e]ste Tribunal ha puesto de manifiesto que la causa de inadmisión de falta de agotamiento de la vía judicial previa [art. 50.1 a), en relación con el art. 44.1 a) LOTC] tiene su fundamento en la salvaguarda de la naturaleza subsidiaria del amparo, con el fin de evitar que este Tribunal se pronuncie sobre eventuales vulneraciones de derechos fundamentales cuando los órganos judiciales tienen todavía la ocasión de reestablecerlos. En relación con ello, se ha destacado que es opuesto al carácter subsidiario de esta jurisdicción constitucional simultanear un recurso de amparo con otro recurso seguido en la vía judicial ordinaria, como ocurre cuando se inicia el proceso de amparo antes de que estén resueltos los recursos interpuestos contra la resolución judicial impugnada en aquella otra vía o cuando, una vez presentada la demanda de amparo, se reabre la vía judicial durante la pendencia del proceso de amparo, aunque la resolución final de la jurisdicción ordinaria sea finalmente desestimatoria (por todas, STC 99/2009, de 27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la STC 85/2006, de 27 de marzo, FJ 2, sostuvimos que “[t]ambién hemos señalado en reiteradas ocasiones que, cuando, por su propia decisión el ciudadano ha intentado un remedio procesal o recurso contra una resolución judicial, el proceso constitucional no puede iniciarse hasta que la vía judicial, continuada a través de ese remedio o recurso, no se haya extinguido, dado que contradice el carácter subsidiario del recurso de amparo su coexistencia temporal con otro recurso seguido en la vía judicial ordinaria (entre muchas otras, SSTC 189/2002, de 14 de octubre, FJ 6; 15/2003, de 28 de enero, FJ 3; 82/2004, de 10 de mayo, FJ 3; 97/2004, de 24 de mayo, FJ 3; y 13/2005, de 31 de enero, FJ 3)” y que cuando “respecto de la Sentencia se haya planteado un incidente de nulidad, dicha resolución judicial sólo puede ser recurrida en amparo ante este Tribunal cuando aquél haya sido resuelto, debiendo ser declarado prematuro, por tanto, cualquier recurso de amparo interpuesto contra una resolución judicial frente a la que se ha instado al mismo tiempo incidente de nulidad pendiente aún de resolver, pues, de otro modo, si el incidente se estimara, y como consecuencia de ello se anulara la Sentencia impugnada y se dictara una nueva Sentencia, podría obtenerse en la vía judicial lo solicitado en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momento procesal en que debe apreciarse la concurrencia de los requisitos de admisibilidad del recurso de amparo, entre ellos su carácter no prematuro, en la STC 188/2006, de 19 de junio, FJ 3 sostuvimos: “En este sentido hemos de recordar, de un lado, que los requisitos de admisibilidad de la demanda de amparo deben ser examinados teniendo en cuenta como marco temporal de referencia el momento en que fue interpuesta y, de otro, que para que la vía constitucional de tal recurso esté expedita es preciso que se haya agotado la vía judicial previa, ya que el aseguramiento de su carácter subsidiario exige que el acceso al recurso no quede abierto en tanto no se hayan agotado los recursos utilizados en la vía judicial ordinaria, de modo que no cabe aquél contra decisiones judiciales que al mismo tiempo sean objeto de impugnación en la vía ordinaria. No pueden así coexistir el procedimiento abierto en la vía judicial ordinaria y el amparo constitucional sobre lo que es materia concreta de ambos, anomalía que acontece cuando se inicia el proceso de amparo antes de que se resuelvan los recursos interpuestos en la vía judicial ordinaria contra la resolución jurisdiccional que se recurre en amparo (por todas, SSTC 192/2001, de 1 de octubre, FJ 3; 72/2004, de 19 de abril, FJ 3; 82/2004, de 10 de mayo, FJ 3; 97/2004, de 24 de mayo, FJ 3, y resoluciones en ellas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datos reflejados en los antecedentes de esta resolución, la demanda de amparo se presentó cuando todavía no había sido resuelto el incidente de nulidad de actuaciones que el demandante había interpuesto contra el Auto de fecha 17 de julio de 2013, en cuya virtud se desestimó el recurso de súplica deducido contra el Auto desestimatorio de la petición de prescripción de la pena. Lo expuesto pone de relieve que el recurrente formuló su recurso de amparo cuando aún estaba abierta la vía judicial previa, merced a un incidente de nulidad de actuaciones que fue definitivamente resuelto con posterioridad a la presentación de la referida demanda. Por tanto, el presente recurso debe ser inadmitido por falta de agotamiento de la vía judicial previa [art. 50.1 a), en relación con el art. 44.1 a) de la Ley Orgánica del Tribunal Constitucional], al haber coincidido temporalmente con la sustanciación un incidente de nulidad de actuaciones, sin que la tardía resolución del mencionado incidente tenga virtualidad para subsanar el óbice detectado.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Miguel Ángel Barrera Valderas.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