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6698-2013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6698-2013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admitir a trámite el recurso de súplica formulado contra la diligencia de ordenación de 20 de junio de 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en el Registro General del Tribunal Constitucional el 10 de enero de 2014, la representación procesal de don Clodulfo Alberto Pedroso Lorenzo, interpuso recurso de amparo contra la providencia de 5 de septiembre de 2013, dictada por el Juzgado de Primera Instancia núm. 32 de Madrid, en procedimiento de ejecución hipotecaria núm. 646-2012, así como contra el posterior Auto de 4 de noviembre de 2013, dictado por el mismo órgano judicial, por el que se desestimó el recurso de reposición contra la anterior providencia, denegando la suspensión del lanzamiento de la vivienda habitual del recurrente. La demanda de amparo invocaba la lesión del derecho a la tutela judicial efectiva sin indefensión (art. 24.1 CE), en su vertiente de derecho a una resolución judicial motivada y fundada en Derecho, así como el derecho fundamental a la igualdad ante la ley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Segunda de este Tribunal acordó, por providencia de fecha 14 de febrero de 2014, de acuerdo con lo dispuesto en el art. 44.1 de la Ley Orgánica del Tribunal Constitucional (LOTC), inadmitir a trámite el recurso de amparo, por inexistencia de lesión en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presentado el 18 de febrero de 2014, el Ministerio Fiscal interpuso recurso de súplica contra la anterior providencia, solicitando que se dejara sin efecto la resolución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5 de mayo de 2014, la Sala Segunda de este Tribunal acordó desestimar el recurso de súplica interpuesto por el Ministerio Fiscal. Esta resolución contó con el Voto particular formulado por dos Magistrados, favorable a la estimación del recurso de súplica promovido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10 de junio de 2014, la representación del partido político Soberanía presentó escrito en el Registro General de este Tribunal, solicitando la expedición de testimonio de las actuaciones del recurso de amparo núm. 6698-2013, en los términos siguientes: “Que para intentar acción penal por querella ante la Sala Segunda del TS contra los integrantes de la mayoría que ha aprobado el auto de la Sala Segunda 129/2014, de 5 de mayo de 2014, se precisa testimonio de las actuaciones, por entender este Partido que puede haberse cometido un presunto delito de prevaricación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20 de junio de 2014 se acordó denegar la solicitud por no ostentar el solicitante la condición de parte en el recurso de amparo, sin perjuicio de remitir a la Sala Segunda del Tribunal Supremo, cuantas actuaciones sean solicitadas en su momento por dicho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anterior resolución, el Partido Soberanía interpuso recurso de súplica, alegando que la denegación del testimonio solicitado para presentar acción penal contra los Magistrados impedía el ejercicio del derecho a la tutela judicial efectiva en forma de acción popular y lesionaba el derecho de acceso a los procesos judiciales por quien demuestra un interés legítimo. Señalaba que la ley no limita el acceso a los testimonios a los que fueran “parte sino que la permite a los que sin ser parte tengan interés legítimo, el ejercicio de la acción contra inviolables”. Añadía que la resolución impugnada es manifiestamente arbitraria e impeditiva del ejercicio del derecho cívico de acceso a la justicia, por lo que solicitaba su revocación y la entrega del testimonio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7 de julio de 2014 se acordó dar traslado del escrito de recurso al Ministerio Fiscal a efectos de formular alegaciones que, mediante escrito de 21 de julio de 2014, interesó la desestimación de la solicitud formulada por la representación legal del Partido Soberanía.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93.1 de la Ley Orgánica del Tribunal Constitucional (LOTC) establece la irrecurribilidad de las Sentencias dictadas por el Tribunal Constitucional y el art. 93.2 LOTC dispone que contra las providencias y autos que dicte el Tribunal Constitucional solo procederá, en su caso, el recurso de súplica. Por tanto, conforme al régimen de recursos expresamente regulado por la Ley Orgánica del Tribunal Constitucional, y en la medida en que no se hace mención alguna a la posible recurribilidad de las diligencias de ordenación de los Secretarios Judiciales, debe concluirse que dichas resoluciones no son impugnables en los procedimientos de amparo constitucional. A esta conclusión no es óbice que tanto el art. 456.2 de la Ley Orgánica del Poder Judicial como el art. 224 de la Ley de enjuiciamiento civil dispongan la posibilidad de revisión de las diligencias de ordenación en los procesos judiciales y ello porque, como ha reiterado este Tribunal, la Ley Orgánica del Tribunal Constitucional no establece la supletoriedad general de ninguna otra ley procesal sino que se limita a hacer en su art. 80 un preciso llamamiento a la Ley Orgánica del Poder Judicial y a la Ley de enjuiciamiento civil para regular las concretas materias que allí se determinan —comparecencia en juicio, recusación y abstención, publicidad y forma de los actos, comunicaciones y actos de auxilio jurisdiccional, día y horas hábiles, cómputo de plazos, deliberación y votación, caducidad, renuncia y desistimiento, lengua oficial y policía de estrados— (por todos, ATC 192/2007, de 21 de marzo, FJ 2), entre las que, como puede comprobarse, no está la revisión de las diligencias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más, tratándose en este caso de una diligencia de ordenación del art. 50.5 LOTC y, por tanto, de una resolución dictada en el trámite de admisión de un recurso de amparo, debe también incidirse en que la regulación prevista en el art. 50 LOTC —en la redacción dada por la por la Ley Orgánica 6/1988, de 9 de junio, que es la aplicable en este caso— sobre dicho trámite pone de manifiesto que el legislador ha establecido un régimen especial y específico de recurribilidad de las decisiones que afecten a la admisibilidad de los recursos de amparo, conforme al cual cualquier decisión de este Tribunal sobre esta materia, con excepción de lo previsto en el art. 50.2 LOTC para el Ministerio Fiscal respecto de las providencias de inadmisión, es irrecurrible, incluyendo, lógicamente, las diligencias de ordenación en que se requiera la subsanación de los defectos formales de que adolezca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admitir a trámite el recurso de súplica formulado contra la diligencia de ordenación de 20 de junio de 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