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1920-2013, promovido por doña Susana Delia Salvio Alvedro, representada por el Procurador de los Tribunales don Alfredo Gil Alegre y asistida por el Abogado don Manuel María Ariza Brugarolas, contra la Sentencia de la Sala de lo Social del Tribunal Supremo de 18 de febrero de 2013, dictada en el recurso de casación para la unificación de doctrina núm. 1078-2012, interpuesto contra la Sentencia de la Sala de lo Social del Tribunal Superior de Justicia de Andalucía (sede de Málaga) de 23 de febrero de 2012, que desestimó el recurso de suplicación 1685-2011 interpuesto contra la Sentencia del Juzgado de lo Social núm. 10 de Málaga de 24 de junio de 2010, en autos núm. 979-2009, sobre Seguridad Social. Ha sido parte el Instituto Nacional de Seguridad Social, asistido y representado por el Letrado de la Administración de la Seguridad Social.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junio de 2013, don Alfredo Gil Alegre, Procurador de los Tribunales y de doña Susana Delia Salvio Alvedro,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de amparo presentó el 29 de diciembre de 2009 ante la Dirección Provincial de Málaga del Instituto Nacional de Seguridad de la Seguridad Social (INSS) una solicitud de reconocimiento de pensión de viudedad derivada del fallecimiento, en fecha 4 de enero de 2000, de don Enric Martínez Santín, con quien había mantenido una relación estable de pareja, formalizada en escritura pública en Cerdanyola del Vallés el 16 de abril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19 de enero de 2009, el Director Provincial del INSS denegó la solicitud de la recurrente “por no haber tenido hijos comunes con el causante fallecido antes del 01/01/2008 de acuerdo con la disposición adicional tercera de la ley 40/2007, de 4 de diciembre, de medidas en materia de Seguridad Social”. Frente a esta resolución, la recurrente presentó reclamación administrativa previa alegando la vulneración del art. 14 CE, al entender que la decisión administrativa estaba basada en una ilegítima distinción entre mujeres “con hijos y sin hijos”. La reclamación fue desestimada por resolución de 30 de marzo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presentó en fecha 10 de julio de 2009 demanda contra el INSS solicitando el reconocimiento de su derecho a la prestación de viudedad. Dicha demanda dio lugar al procedimiento sobre Seguridad Social núm. 979-2009, que fue resuelto por el Juzgado de lo Social núm. 10 de Málaga en Sentencia de 24 de junio de 2010, en la que desestimó la demanda formulada y absolvió al INSS de las pretensiones deducidas en su contra. Según se hacía constar en esta resolución, la recurrente de amparo no había acreditado los requisitos legales establecidos en la disposición adicional tercera de la Ley 40/2007, pues ni había presentado certificado de empadronamiento acreditativo de una convivencia ininterrumpida durante los seis años anteriores al fallecimiento del causante, ni había acreditado la existencia de hijos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23 de febrero de 2012, la Sala de lo Social de Málaga del Tribunal Superior de Justicia de Andalucía dictó Sentencia desestimando el recurso de suplicación interpuesto por la recurrente de amparo y confirmando la Sentencia dictada por el Juzgado de lo Social. A juicio de la Sala, la recurrente había justificado suficientemente la convivencia ininterrumpida durante los seis años anteriores al fallecimiento del causante, pues el certificado de empadronamiento no podía ser considerado un medio de prueba exclusivo de este requisito material. Entendía, no obstante, que la pensión había sido correctamente denegada en atención al incumplimiento de la exigencia de hijos comunes contenida en la letra c) de la disposición adicional tercera de la ley 40/2007.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de lo Social del Tribunal Supremo dictó Sentencia de 18 de febrero de 2013 en la que desestimó el recurso de casación para la unificación de doctrina presentado por la actora, al no haber acreditado ésta la necesaria contradicción entre la resolución judicial impugnada y la aportada como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recurrente de amparo entiende que las resoluciones impugnadas vulneran su derecho a la igualdad ante la ley. Invoca al efecto la STC 41/2013, de 14 de febrero, derivada de la cuestión de inconstitucionalidad núm. 8970-2008, en la que se declaró que la letra c) de la disposición adicional tercera de la Ley 40/2007, de 4 de diciembre, de medidas en materia de Seguridad Social, es inconstitucional y nula por violar el art. 14 CE. Con amplia cita de esta resolución, la recurrente entiende que la diferencia de trato basada en la existencia de hijos comunes no obedece a ninguna razón objetivamente justificada. La aplicación singular de la norma declarada inconstitucional habría vulnerado, por ello, su derecho a la igualdad ante la ley. Aduce, asimismo, la actora que el recurso planteado tiene la especial trascendencia constitucional exigida por el art. 49.1 in fine de la Ley Orgánica del Tribunal Constitucional (LOTC) en tanto que, tal y como resulta de la interpretación efectuada por la STC 155/2009, de 25 de junio, la lesión que se alega proviene directamente de la norma legal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marzo de 2014, la Sala Segunda acordó conocer del presente recurso de amparo y admitir a trámite la demanda, y, en aplicación de lo dispuesto en el art. 51 de la Ley Orgánica del Tribunal Constitucional (LOTC), dirigir atenta comunicación a la Sala de lo Social del Tribunal Supremo, a la Sala de lo Social del Tribunal Superior de Justicia de Andalucía (sede de Málaga) y al Juzgado de lo Social núm. 10 de Málaga a fin de que, en plazo que no excediera de diez días, remitieran, respectivamente, certificación o fotocopia adverada de las actuaciones correspondientes al recurso de casación para la unificación de doctrina núm. 1078-12, del recurso de suplicación núm. 1685-2011 y de los autos núm. 979-2009, interesándose al propio tiempo del Juzgado que emplazara a quienes hubieran sido parte en el procedimiento, excepto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29 de mayo de 2014, el Letrado de la Administración de la Seguridad Social se personó como recurrido en nombre y representación del INSS, solicitando que se entendieran con él las sucesivas actuaciones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1 de julio de 2014, se tuvo por personado al Letrado de la Administración de la Seguridad Social en nombre del INSS y se acordó dar vista de las actuaciones recibidas a las partes y al Ministerio Fiscal, por plazo común de veinte días, dentro del cual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sus alegaciones mediante escrito registrado el 30 de julio de 2014, en el que se limita a ratificar todas las alegaciones expuestas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sus alegaciones mediante escrito registrado el 1 de septiembre de 2014, en el que solicita el otorgamiento de amparo en los términos establecidos en la demanda. Afirma que las circunstancias fácticas de la recurrente se acomodan a los presupuestos fijados en la STC 41/2013, de 14 de febrero, ya que las resoluciones dictadas por la Sala de los Social del Tribunal Supremo y la Sala de lo Social del Tribunal Superior de Justicia de Andalucía son posteriores a la referida Sentencia. En consecuencia, entiende que procede aplicar la doctrina establecida en la citada STC 41/2013 y otorgar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29 de septiembre de 2014, en el que solicita el otorgamiento del amparo, reconociendo a la actora su derecho fundamental a la igualdad ante la ley del art. 14 CE. El Fiscal considera que, de acuerdo con la STC 41/2013, de 14 de febrero, la exigencia de hijos comunes a las parejas de hecho para el reconocimiento de la pensión de viudedad constituye una directa vulneración del principio de igualdad establecido en el art. 14 CE, ya que la diferencia de trato basada en esta circunstancia no obedece a razón objetivamente justificada relacionada con la propia esencia, fundamento o finalidad de la referida pensión. El requisito aludido produce, además, a juicio del Fiscal, un resultado desproporcionado, al impedir injustificadamente a determinados supérstites de pareja de hecho el acceso a la protección dispensada mediante dicha pensión, por ser de imposible cumplimiento por razones biológicas o jurídicas. Recuerda, asimismo, que el Tribunal Constitucional ha entendido que la nulidad de la letra c) de la disposición adicional tercera de la ley 40/2007, de 4 de diciembre, tiene efectos ex tunc de los que sólo cabe excluir, de acuerdo con lo previsto en el art. 40 LOTC, los procesos fenecidos mediante sentencia que haya alcanzado fuerza de cosa juzgada. Finalmente, el Fiscal pone de manifiesto que, en aplicación de la doctrina establecida en la STC 41/2013, se han estimado dos recursos de amparo similares (SSTC 55/2013, de 11 de marzo, y 77/2013, de 8 de abril). La resolución del caso que ahora se plantea debería seguir, a juicio del Fiscal ante el Tribunal Constitucional, la misma suerte que los dos recursos aludidos, procediendo, en consecuencia, el otorgamiento del amparo y la declaración de nulidad de las resoluciones administrativas dictadas por el INSS.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2014,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en amparo solicitó pensión de viudedad en virtud de la disposición adicional tercera de la Ley 40/2007, de 4 de diciembre, de medidas en materia de Seguridad Social. Esta disposición condicionaba la concesión de la pensión de viudedad a las parejas de hecho, cuando el fallecimiento del causante se hubiera producido antes de la entrada en vigor de la citada Ley, al cumplimiento de determinados requisitos, entre ellos, “que el causante y el beneficiario hubieran tenido hijos en común” [apartado c)]. La solicitud formulada por la recurrente fue rechazada por el Instituto Nacional de la Seguridad Social, por entender incumplida esta última exigencia. El criterio seguido por la entidad gestora fue después corroborado en vía judicial por la Sentencia de 24 de junio de 2010 del Juzgado de lo Social núm. 10 de Málaga y por la Sentencia de la Sala de lo Social del Tribunal Superior de Justicia de Andalucía, de 23 de febrero de 2012. Finamente, el Tribunal Supremo, sin entrar en el fondo de la cuestión planteada, dictó Sentencia de 18 de febrero de 2013 en la que desestimó el recurso de casación para la unificación de doctrina, lo que dio lugar al agotamiento de los medios de impugnación a disposición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formulación de su recurso de amparo, la recurrente imputa a las resoluciones aludidas la vulneración del art. 14 CE por considerar que la exigencia del apartado c) de la disposición adicional tercera de la Ley 40/2007 vulnera el derecho a la igualdad, pues exige un requisito que no obedece a ninguna razón objetivamente justificada relacionada con la pensión de viudedad especial regulada en la citada norma. Tanto el Letrado de la Seguridad Social como el Ministerio Fiscal interesan igualmente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cuestión en los términos expuestos, la respuesta ha de ser forzosamente concisa e inequívoca a la luz de nuestra STC 41/2013, de 14 de febrero, citada por la recurrente en defensa de sus pretensiones. En dicha resolución, el Pleno de este Tribunal resolvió la cuestión de inconstitucionalidad planteada por el Juzgado de lo Social núm. 33 de Barcelona respecto al apartado c) de la disposición adicional tercera de la Ley 40/2007, declarándola inconstitucional y nula. En efecto, en la STC 41/2013 declaramos que el requisito contenido en la letra c) de la disposición cuestionada constituye una directa vulneración del principio de igualdad ante la ley (art. 14 CE), pues la diferencia de trato que se establece entre parejas de hecho, en razón a que hubieran tenido o no hijos en común, no sólo no obedece a ninguna razón objetivamente justificada, “relacionada con la propia esencia, fundamento o finalidad de la pensión de viudedad especial que regula, sino que conduce a un resultado desproporcionado, al impedir injustificadamente a determinados supérstites de parejas de hecho el acceso a la protección dispensada mediante dicha pensión, por ser de imposible cumplimiento (por razones biológicas y jurídicas) la exigencia de haber tenido hijos comunes”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debemos reiterar la doctrina expuesta en la citada Sentencia y sentar la misma conclusión, reconociendo a la recurrente en amparo la vulneración del derecho a la igualdad ante la ley (art. 14 CE) que denuncia, lo que conduce a la estimación del recurso de amparo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Susana Delia Salvio Alvedro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recurrente a la igualdad ante la ley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las resoluciones del Instituto Nacional de la Seguridad Social de 19 de enero de 2009 y 30 de marzo de 2009, la Sentencia del Juzgado de lo Social núm. 10 de Málaga de 24 de junio de 2010, dictada en proceso sobre Seguridad Social núm. 979-2009, la Sentencia de la Sala de lo Social del Tribunal Superior de Justicia de Andalucía (sede de Málaga) de 23 de febrero de 2012, dictada en el recurso de suplicación núm. 1685-2011, y la Sentencia de la Sala de lo Social del Tribunal Supremo de 18 de febrero de 2013, dictada en el recurso de casación para la unificación de doctrina núm. 1078-2012.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primera de las resoluciones administrativas indicadas, a fin de que por el Instituto Nacional de la Seguridad Social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