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Pedro José González-Trevijano Sánchez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2604-2012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2604-2012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Ricardo Enríquez Sancho en el recurso de amparo número 2604-2012,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el Auto de la Sala de lo Contencioso-Administrativo del Tribunal Supremo, de 26 de enero de 2012, por el que se inadmitió el recurso de casación núm. 1495-2011, promovido a su vez contra la Sentencia de 16 de febrero de 2011, de la Sección Segunda de la Sala de lo Contencioso-Administrativo de la Audiencia Nacional, recaída en el recurso núm. 56-2008.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4 de noviembre de 2014, el Magistrado don Ricardo Enríquez Sancho comunicó a los efectos oportunos que se abstenía de intervenir en el antes indicado recurso de amparo, de conformidad con el art. 80 de la Ley Orgánica del Tribunal Constitucional, por haber formado parte de la Sección Primera de la Sala Tercera del Tribunal Supremo, que dictó el Auto de 26 de enero de 2012, resolución impugnada en el presente recurso de amparo número 2604-2012.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Ricardo Enríquez Sancho, Magistrado de esta Sala Segunda del Tribunal Constitucional, la Sala,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Tercera del Tribunal Supremo, que dictó el Auto de 26 de enero de 2012, en el recurso de casación número núm. 1495-2011, que ha sido impugnado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Ricardo Enríquez Sancho en el recurso de amparo número 2604-2012,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