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2605/2012, promovido por Promotora de Informaciones S.A., representada por el Procurador de los Tribunales don Argimiro Vázquez Guillén y defendida por el Letrado don Carlos Casanova Caballero, contra el Auto de la Sala Tercera del Tribunal Supremo, de 3 de noviembre de 2011, por el que se inadmite el recurso de casación núm. 1499/2011, deducido contra la Sentencia de la Sala de lo Contencioso-administrativo de la Audiencia Nacional, de 16 de febrero de 2011, así como contra el Auto de la misma Sala, de 15 de marzo de 2012, por la que se inadmite el incidente de nulidad deducido contra aquél Auto. Ha intervenido el Abogado del Estado, así como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mayo de 2012, el Procurador don Argimiro Vázquez Guillén, formuló demanda contra las resoluciones judiciales reseñadas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Contencioso-Administrativo de la Audiencia Nacional, dictó Sentencia de 16 de febrero de 2011, por la que estimó parcialmente el recurso deducido por la demandante de amparo contra la resolución del Tribunal Económico-Administrativo Central de 31 de enero de 2008, en relación con el acuerdo de liquidación y sanción dictado respecto del impuesto de sociedades del ejercicio 2001, por el que se anulaba la sanción impuesta y se desestimaba el recurso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resolución prepararon recurso de casación tanto el Abogado del Estado como la demandante de amparo, que lo hizo mediante escrito de fecha 28 de febrero de 2011. En él puso de manifiesto la intención de interponerlo, el cumplimiento del plazo para la presentación del escrito, el carácter recurrible de la resolución impugnada y la suficiencia de la cuantía para el acceso a la casación; a ello añadió la precisión de que el recurso iba a fundarse en los motivos previstos en los apartados c) y d) del art. 88.1 de la Ley reguladora de la jurisdicción contencioso-administrativa (LJCA). El recurso fue tenido por preparado por diligencia de ordenación de la Sala de lo Contencioso-Administrativo de la Audiencia Nacional de 4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en el Registro General del Tribunal Supremo el día 31 de marzo de 2011, la demandante de amparo se personó y formalizó el escrito de interposición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7 de junio de 2011, el órgano judicial acordó poner de manifiesto las actuaciones a las partes por término de diez días para que alegaran lo que estimaren procedente en relación con la posible concurrencia de la causa de inadmisión en los recursos de casación interpuestos consistente en “no haber hecho indicación en el escrito de preparación del recurso, de las concretas infracciones normativas o jurisprudenciales que se desarrollarán en el escrito de interposición [artículos 88.1, 89 y 93.2 a) de la LRJCA y Auto de la Sala de 10 de febrero de 2011, dictado en el recurso de casación 2927/2010]”. Tanto el Abogado del Estado como el demandante de amparo cumplieron el trámite conferido interesando la admisión del recurso de casación respectivamente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Seguidamente el Tribunal Supremo dictó el Auto de 3 de noviembre de 2011 frente al que se demanda amparo, por el que inadmitió el recurso de casación deducido por el demandante, así como el interpuesto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 remitió al ATS de 10 de febrero de 2011, del que transcribió varios de sus fundamentos, a la vista de los cuales concluyó, en lo que ahora interesa, que, no habiéndose citado en el escrito de preparación del recurso formalizado por la sociedad recurrente las infracciones normativas o jurisprudenciales que iban a desarrollarse en el escrito de interposición, pues se limitaba a anunciar que el recurso se fundamentaría en los motivos previstos en los apartados c) y d) del art. 88.1 de la Ley jurisdiccional, procedía la inadmisión del recurso de casación deducido por la demandante de amparo. También se inadmitía, por igual motivo, el interpuesto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enumeración que recoge el art. 89.1 LJCA, no agota las exigencias formales del escrito de preparación, pues tan sólo enuncia aquéllas que aparecen desconectadas de los concretos motivos de casación que sustentarán el indicado recurso. Recuerda —con cita de numerosas resoluciones— que el Tribunal Supremo viene exigiendo de forma reiterada la necesidad de anticipar en el escrito de preparación los concretos motivos en que se fundamentará el escrito de interposición. Afirma que es doctrina reiterada la que considera que la fase de preparación no es un mero formalismo sino un trámite que adquiere sustantividad propia, en cuanto ha sido establecido con la finalidad de permitir al mismo Tribunal que ha dictado la resolución judicial efectuar un primer juicio sobre la procedencia del recurso y constatar si se dan las condiciones previstas en la ley para darle trámite, con el propósito de proporcionar a la parte recurrida información acerca de los motivos en que se fundamentará el recurso de casación, a fin de adoptar —en consecuencia— la posición procesal que estime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en los AATS de 10 de febrero de 2011 y 12 de mayo de 2011, el Tribunal Supremo ha indicado que es carga del recurrente en casación indicar ya en la fase de preparación el concreto o concretos motivos en que se funda el recurso, con indicación de los concretos preceptos o jurisprudencia que se consideran infringidos o que se pretendan denunciar. Si así no lo hiciera, el trámite de preparación quedaría privado de su sentido y finalidad característicos. Dicha exigencia existe tanto cuando la resolución impugnada procede de los Tribunales Superiores de Justicia como de la Audiencia Nacional y cualquiera que sea el motivo del art. 88.1 que se utilice. Si el escrito de preparación no especifica en modo alguno los motivos a los que se acogerá la impugnación con las exigencias expresadas, el recurso será inadmisible por aplicación del art. 93.2 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remitirse a las consideraciones jurídicas vertidas en los AATS, de 14 de octubre de 2010 y de 10 de febrero de 2011, el Tribunal Supremo argumenta: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 de ponerse de manifiesto que es reiterada la doctrina constitucional que admite sin reservas el cambio de criterio jurisprudencial, siempre que éste no sea arbitrario y esté motivado, sin que quepa pretender de la jurisprudencia un carácter monolítico y estático, puesto que su valor reside precisamente en su dinámica adaptativa y motivada a las nuevas realidades en que se desenvuelven las relaciones jurídicas, teniendo en cuenta la libertad de apreciación de todo órgano jurisdiccional en el ejercicio de su función juzgadora (de conformidad con el artículo 117.3 de la Constitución Española ) y la consecuencia de una diferente concepción jurídica igualmente razonable y fundada en Derecho de los supuestos sometidos 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viene entendiendo (entre otras, STC 76/2005, de 4 de abril, recurso de amparo nº 2.182/2002) que los cambios jurisprudenciales han de ser conscientes y justificados, con vocación de generalidad suficiente como para impedir su calificación como irreflexivo, arbitrario, ocasional e inesperado, de modo que, cumpliéndose esos requisitos, no podría estimarse vulnerado el principio de igualdad en su vertiente de aplicación judicial de la Ley. Efectivamente, el Alto Tribunal considera que los cambios de criterio jurisprudenciales son legítimos cuando son razonados y razonables (STC 29/2005, de 14 de febrero, recurso de amparo nº 6.002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(por todas, STC 176/2000, de 26 de junio, recurso de amparo nº 6.604 /1997). De este modo, los cambios de criterio jurisprudenciales no erosionan los principios constitucionales de igualdad ni de seguridad jurídica. En los mismos términos se ha pronunciado esta Sala Tercera del Tribunal Supremo en numerosas sentencias, por todas ellas STS de 5 de julio de 2002, recurso de casación nº 5.552/1997, y STS de 22 de diciembre de 2003, recurso de casación nº 5.455/1998.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Sala habrá de aplicar el nuevo criterio jurisprudencial a todo supuesto o situación jurídica que tenga ante sí para resolver, con independencia del momento temporal en que se interpuso el recurso. Es lo que el Tribunal Constitucional ha entendido como el “mínimo efecto retroactivo”. En caso contrario, quedaría petrificada la nueva interpretación jurisprudencial a aquellos escritos de interposición de recursos que fueran presentados debidamente ante los Tribunales de Justicia a partir del momento del "anuncio" del cambio de criterio, "anuncio" a que no están obligados los órganos jurisdiccionales, tal y como tiene asentada la doctrina constitucional referida. Asimismo, hay que tener en cuenta que una resolución judicial que incorpora un cambio de criterio jurisprudencial y cuya eficacia fuese meramente prospectiva sería un mero obiter dictum, convirtiendo al Tribunal en legislador, amén de que se frustraría la finalidad del proceso porque la sentencia no afectaría a las partes. El único límite temporal a que se limitan los cambios de criterio jurisprudenciales, de conformidad con la doctrina del Tribunal Constitucional, es a las situaciones jurídicas que gozan de la protección de la cosa juzgada, como no podía ser menos como garantía de salvaguardia de la tutela judicial efectiva proclamada en el artículo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 de diciembre de 2011, la demandante de amparo dedujo incidente de nulidad de actuaciones en el que, con una extensa argumentación, alegó vulneración del derecho a la tutela judicial efectiva, reconocido en el art. 24.1 de la Constitución, en su variante de acceso al recurso legal, por rigorismo y formalismo al inadmitir el recurso de casación, en tanto que la parte demandada y la Sala han podido conocer el contenido y alcance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15 de marzo de 2012, frente al que también se demanda amparo, se desestimó el incidente de nulidad promovido por la demandante. Se razona que la demandante expresa su discrepancia con la inadmisión del recurso de casación, utilizando el incidente de nulidad a modo de recurso de súplica, pretendiendo someter a crítica la bondad jurídica de una resolución que es firme y reiterando lo alegado en el escrito de alegaciones. Añade que la declaración de inadmisibilidad tampoco contradice el derecho a un proceso equitativo, reconocido en el art. 6.1 del Convenio europeo de derechos humanos, al respetarse el principio de proporcionalidad entre las limitaciones impuestas al derecho y el acceso a un tribunal para que examine el recurso y las consecuencias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resolución del presente recurso de amparo ha de tenerse igualmente presente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89.1 LJCA dispone que en el escrito de preparación del recurso de casación deberá manifestarse “la intención de interponer el recurso, con sucinta exposición de la concurrencia de los requisitos de forma exigidos”. El art. 89.2 LJCA dispone que “en el supuesto previsto en el art. 86.4 ‘sentencias dictadas por las salas de lo contencioso-administrativo de los Tribunales Superiores de Justicia, contra las que solo cabe recurso si este puede fundarse en infracción de normas de Derecho estatal o comunitario europeo’, habrá de justificarse que la infracción de una norma estatal o comunitaria europea ha sido relevante y determinante del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Inicialmente el Tribunal Supremo circunscribió los requisitos de forma que deben expresarse en el escrito de preparación a la necesidad de hacer constar el carácter susceptible de recurso de la resolución impugnada, la legitimación de la parte recurrente, el cumplimiento del plazo legalmente fijado para presentar el escrito de preparación, y la intención de interponer el recurso de casación. En el caso de resoluciones procedentes de los Tribunales Superiores de Justicia, por disponerlo así el art. 89.2 en relación con el art. 86.4 LJCA, se entendía exigible también la anticipación o anuncio en el escrito de preparación de los motivos que iban a desarrollarse en la interposición y la expresión de las concretas infracciones denunciadas de la ley y de la jurisprudencia aplicables, con la finalidad de determinar si se trataba de normas estatales o de Derecho europeo relevantes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algunas resoluciones del Tribunal Supremo (AATS de 3 de diciembre de 2009, recurso de casación 577-2009; 4 de marzo de 2010, recurso de casación 4416-2009, y 6 de mayo de 2010, recurso de casación 6228-2009) comenzaron a entender exigible con carácter general en los escritos de preparación del recurso de casación la expresión de los motivos de casación que iban a desarrollarse en el escrito de interposición. Tal exigencia no era general, pues, como declaran los AATS de 14 de octubre de 2010, recursos de casación 951-2010 y 573-2010; 18 de noviembre de 2010, recurso de casación 3461-2010; 25 de noviembre de 2010, recursos de casación 1886-2010 y 2738-2010; y 2 de diciembre de 2010, recursos de casación 3852-2010 y 5030-2010, “debe reconocerse que en ocasiones tal exigencia se ha predicado tan solo respecto de los recursos de casación preparados frente a sentencias de las Salas de lo Contencioso-administrativo de los Tribunales Superiores de Justicia, excluyéndose expresamente esta exigencia respecto de las sentencias de lo Contencioso-administrativo de la Audiencia Nacional (en este sentido, Autos de esta Sala y Sección de 23 abril 2009, recurso de casación 3146-2008; 9 julio de 2009, recurso de casación 5647-2008; y 6 abril 2010, recurso de casación 1368-2009,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AATS 951/2010 y 573/2010, de 14 de octubre de 2010, y 3461/2010, de 18 de noviembre de 2010, al objeto de “clarificar” la jurisprudencia, la Sección Primera de la Sala de lo Contencioso-Administrativo del Tribunal Supremo precisó que la exigencia de “anticipar” en el escrito de preparación los motivos de casación era aplicable también a las Sentencias y Autos dictados por la Audiencia Nacional, como extensión de las exigencias de forma impuestas para el escrito de preparación del recurso de casación por el art. 89.1 LJCA. Según estos autos, en el escrito de preparación “es carga del recurrente en casación indicar ya en la fase de preparación el concreto o los concretos motivos en que se fundará el recurso”, con referencia a los “cuatro motivos que ahí se perfilan [se refiere al art. 88.1 LJCA]” (ATS 3461/2010, de 18 de noviembre de 2010.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ATS de 10 de febrero de 2011 (recurso de casación 2927-2010), al que se ha hecho ya referencia, dictado también por la Sección Primera de la Sala de lo Contencioso-Administrativo, a la que corresponde por reparto decidir sobre la admisibilidad de los recursos de casación, dictado también con la finalidad de “clarificar” la doctrina jurisprudencial, especificó que el escrito de preparación, con carácter general, debe contener no sólo la invocación de los motivos, sino también la indicación de “los concretos preceptos o jurisprudencia que se reputan infringidos o del contenido de las infracciones normativas o jurisprudenciales que se pretenda denunciar y desarrollar en el escrito de interposición del recurso de casación, aunque fuera de forma sucinta”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expone las razones por las cuales se introdujo esta especificación de la siguiente forma: “Si así no se exigiera, es decir, si se estimara innecesario anticipar el motivo o motivos al que se acogerá el éxito de interposición en los términos expresados, el trámite de preparación quedaría privado de sentido y finalidad característicos, desde el momento en que el tribunal a quo quedaría desprovisto de elementos de juicio para verificar que el recurso de casación cumple el más primario requisito de procedibilidad, cuando este se funda formalmente en uno de sus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 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artículo 88. 1 que se utilice”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se reprocha al Auto de inadmisión frente al que se solicita amparo la vulneración del derecho a la tutela judicial efectiva, en su vertiente de derecho de acceso a los recursos. Afirma que en el escrito de preparación se dio cumplimiento al art. 88.1 d) LJCA, al citar las normas que se consideraban infringidas. En todo caso, considera subsanable la omisión contenida en el escrito de preparación del recurso, máxime cuando lo que parece que se encuentra en juego es el alcance de la “sucinta exposición”.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el Auto impugnado es contrario al principio “antiformalista y al principio favor acti”, mucho más si se toma en consideración que cuando se dicta dicho Auto la Sala ya tiene en su poder el escrito de interposición en el que se articulan los motivos propiamente dichos del recurso y se establecen los preceptos de las normas previamente invocadas que se reputan infringidas, pudiendo ser valorados conjuntamente el escrito de preparación y el de interposición en orden a la tramitación del recurso. Entiende que la parte demandada y el Tribunal Supremo han podido conocer perfectamente el contenido y alcance del recurso, cumpliendo con ello la finalidad del escrito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posición del Tribunal Supremo casa mal con la doctrina del Tribunal Constitucional, al llevar a cabo una interpretación rigorista, fruto de un formalismo excesivo, que es claramente desproporcionada al contrastarse con los intereses que se sacrifican. Pues conociendo el Tribunal Supremo los motivos invocados y los extremos objeto del recurso, hubiese podido entrar a conocer del recurso al constar de manera indubitada la normativa que se invocaba y al no existir contradicción entre el escrito de preparación y el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de 2013, la Sala Primera acordó admitir a trámite la demanda de amparo. Asimismo, en aplicación de lo dispuesto en el art. 51 de la Ley Orgánica del Tribunal Constitucional (LOTC), acordó dirigir atenta comunicación al Tribunal Supremo y a la Audiencia Nacional a fin de que, en el plazo de diez días, remitieran certificación o fotocopia adverada de las actuaciones correspondientes al recurso de casación núm. 1499-2011 y al recurso núm. 57-2008, respectivamente, debiendo previamente emplazarse para que pudieran comparecer en el recurso de amparo, en el término de diez días, a quienes hubieran sido parte en el procedimiento, excepto a la parte recurrente en amparo, acordando notificarle la resolución con efectos de emplazamiento al Abogado del Estado, en representación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certificaciones interesadas de las actuaciones judiciales y personado el Abogado del Estado mediante escrito presentado el 14 de mayo de 2013, mediante diligencia de ordenación de 10 de junio de 2013, a tenor de lo dispuesto en el art.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mediante escrito presentado el 9 de julio de 2013, en el que solicita que se “dicte sentencia con arreglo a Derecho”. Considera que la exigencia jurisprudencial contenida en el ATS de 10 de febrero de 2011 de anticipar resumidamente los motivos casacionales que se desarrollaran en el escrito de interposición, no puede calificarse ni de arbitraria ni de irrazonable. Afirma que el auténtico problema constitucional que la demanda suscita, radica en la aplicación retrospectiva de las nuevas máximas jurisprudenciales contenidas en el ATS de 10 de febrero de 2011, inexistente cuando se presentó el escrito de preparación del recurso de casación. En conclusión, interesa que se dicte Sentencia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presentó escrito el 10 de julio de 2013 por el que reproducía las alegaciones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mediante escrito registrado el 23 de julio de 2013. En él recoge la doctrina del Tribunal Constitucional sobre el acceso a los recursos y la evolución de la jurisprudencia del Tribunal Supremo sobre los requisitos que debe reunir el escrito de preparación del recurso de casación contencioso-administrativo. A la vista de las alegaciones formuladas en la demanda de amparo, interesa que se desestime íntegramente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su exhaustivo y pormenorizado informe, realiza un detallado repaso de la evolución de la doctrina del Tribunal Supremo en relación con los requisitos que deber reunir el escrito de preparación del recurso. Señala que el ATS 2371/2011, de 10 de febrero, cambió la doctrina hasta entonces existente en el sentido de exigir, también para los recursos contra sentencias de la Audiencia Nacional, que en el escrito de preparación se especifique el concreto o concretos motivos en que se fundará el recurso, con indicación de los concretos preceptos o jurisprudencia que se reputan infringidos o del contenido de las infracciones normativas o jurisprudenciales que se pretendan denunciar y desarrollar en el escrito de interposición del recurso de casación, aunque sea en forma sucinta. Sostiene que dicha doctrina es la que se aplicó al caso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circunscribiendo sus alegaciones al motivo de amparo invocado por el demandante, pone de manifiesto la doctrina del Tribunal Constitucional sobre el derecho de acceso al recurso, diferenciándolo del derecho de acceso a la jurisdicción, en lo relativo a la inoperancia del principio pro actione, en tanto que el derecho de acceso al recurso no nace directamente de la Constitución sino de la ley procesal, siendo pues un derecho de configuración legal, correspondiendo a los jueces y tribunales en exclusiva (art. 117.3 CE), verificar si el recurso cumple los requisitos procesales y materiales. Por ello, afirma, el control del Tribunal Constitucional es meramente externo, debiendo limitarse a comprobar si tienen motivación las resoluciones de inadmisión, si han incurrido en error patente, arbitrariedad o manifiesta irrazonabilidad. Siendo, si cabe, más limitado todavía el control que le corresponde al Tribunal Constitucional cuando la resolución enjuiciada en materia de acceso al recurso es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considera el Fiscal que por discutible que pueda parecer la argumentación que ha conducido a la inadmisión del recurso de casación, constituye una resolución debidamente motivada, no incursa en error patente, ni en irrazonabilidad, ni en arbitrariedad. Añade, el Fiscal, completando su exhaustivo informe, que la exigencia de especificar las concretas infracciones legales o jurisprudenciales fluye con naturalidad de los motivos de casación esgrimidos en el escrito de preparación del recurso, que se refieren precisamente a las infracciones de las normas reguladoras de la sentencia o de las que rigen los actos y garantías procesales y a la infracción de las normas del ordenamiento jurídico o de la jurisprudencia que fueran aplicable para resolver las cuestiones objeto de debate. Por ello concluye, que la exigencia resulta del propio tenor de los dos motivos de casación concretados por el demandante, que son los que ahora interesan, de modo que podría afirmarse que no es la jurisprudencia sino la norma legal la que impone tal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26 de febrero de dos mil quince, se señaló para deliberación y votación de la presente Sentencia el día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3 de noviembre de 2011, que acordó no admitir a trámite el recurso de casación interpuesto contra la Sentencia de la Sala de lo Contencioso-Administrativo de la Audiencia Nacional de 16 de febrero de 2011, recaída en el procedimiento ordinario núm. 57-2008. También impugna el Auto que desestimó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la vulneración de su derecho a la tutela judicial efectiva (art. 24.1 CE), en su vertiente de acceso a los recursos, afirmando que el Auto impugnado lleva a cabo una interpretación rigorista, fruto de un formalismo excesivo, contrario al principio pro actione, claramente desproporcionada a los intereses que se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planteado en la demanda de amparo ha sido ya abordado por este Tribunal en la STC 7/2015, de 22 de enero, en la que hemos tenido la oportunidad de examinar otro supuesto de inadmisión de un recurso de casación por omitirse en el escrito de preparación la cita de las normas y jurisprudencia que el recurrente reputaba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llevar a cabo una interpretación rigorista de las exigencias procesales del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diciembre 1997, caso Brualla Gómez de la Torre c. España; y de 25 enero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mayo 2000; Llopis Ruiz c. España, de 7 noviembre 2003; e Ipamark c. España, de 17 febrero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 Francia, § 74), pues la evolución de la jurisprudencia no es en sí contraria a la correcta administración de justicia, ya que lo contrario impediría cualquier cambio o mejora en la interpretación de las leyes (STEDH de 14 de enero de 2010, caso Atanasovski c.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su excepcionamiento por disposición legal que establezca el efecto exclusivamente prospectivo de la sentencia, como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de jurisprudencia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consideración a lo argumentado en los fundamentos anteriores,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Promotora de Informaciones,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recurso de amparo núm. 2605-2012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Sala en la que se sustenta la sentencia, manifestamos nuestra discrepancia con la fundamentación jurídica y el fallo de Esta. Consideramos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