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1873-2013, interpuesto por el Gobierno de Cataluña contra el art. 19 de la Ley 16/2012, de 27 de diciembre, por la que se adoptan diversas medidas tributarias dirigidas a la consolidación de las finanzas públicas y al impulso de la actividad económica. Han intervenido y formulado alegaciones el Abogado del Estado y el Senado.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2013 tuvo entrada en el Registro General de este Tribunal Constitucional un escrito de la Abogada de la Generalitat de Cataluña, en representación del Gobierno de esta Comunidad Autónoma, por el que interpone un recurso de inconstitucionalidad contra el art. 19 de la Ley 16/2012, de 27 de diciembre, por la que se adoptan diversas medidas tributarias dirigidas a la consolidación de las finanzas públicas y al impulso de la actividad económica, precepto que establece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una descripción de las circunstancias que rodearon la aprobación de la Ley 16/2012, cuyo artículo 19 se impugna. Se hace hincapié en la vinculación entre la creación de este tributo estatal y la doctrina sentada por la STC 210/2012, de 14 noviembre, en la que se había declarado la constitucionalidad de la Ley de la Asamblea de Extremadura 14/2001, de 29 noviembre, que establecía un impuesto similar sobre depósitos bancarios. La doctrina contenida en esa Sentencia despejaba las dudas suscitadas diez años atrás por la aprobación de la Ley extremeña, dejando vía libre a las Comunidades Autónomas para mantener, como era el caso de Extremadura, Andalucía y Canarias, o para crear, como ha sido el caso de Cataluña y Asturias, un impuesto autonómico sobre los depósitos bancarios. Precisamente con base en el aval otorgado por la citada Sentencia, el Gobierno de la Generalitat de Cataluña resolvió aprobar el Decreto-ley 5/2012, de 18 diciembre, del impuesto de depósitos en las entidades de crédito. Análogamente, la Ley del Principado de Asturias 3/2012, de 28 diciembre, de presupuestos para el año 2013, estableció en su artículo 41 otro impuesto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citada STC 210/2012 desencadenó una sorprendente reacción en las instancias estatales, ya que con la pretensión de impedir la proliferación de este tipo de tributos, se estableció una extravagante figura sin efectividad tributaria, puesto que se fijó un tipo de gravamen del 0 por 100, y se aprobó por un procedimiento legislativo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 motivo de inconstitucionalidad, expone que la creación de esta figura tributaria no estaba en el proyecto de ley presentado en el Congreso de los Diputados el 28 septiembre 2012, de manera que fue una vez enviado el texto aprobado al Senado, el 4 diciembre, cuando se publicaron las enmiendas entre las que se encontraban las presentadas por el Grupo Parlamentario Popular en el Senado y que introdujeron el citado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en estos términos la tramitación legislativa, afirma, en primer lugar, que el art. 19 de la ley 16/2012 es inconstitucional por haberse infringido en su tramitación y aprobación el procedimiento legislativo, ya que la figura tributaria se introdujo en el proyecto mediante una enmienda formulada en el Senado que no guardaba conexión con las materias contenidas en el proyecto de ley aprobado por el Congreso de los Diputados. Se cita en apoyo de este motivo la doctrina contenida en las SSTC 119/2011, de 5 julio, FJ 6, y 136/2011, de 13 septiembre, FJ 7, de la que deriva la exigencia general de conexión u homogeneidad entre las enmiendas y los textos a enmendar, que a su vez es consecuencia del carácter subsidiario que, por su propia naturaleza, tiene toda enmienda en relación con el texto enmendado. Ello es así porque la enmienda conceptualmente implica la modificación de algo preexistente, cuyo objeto y naturaleza ha sido determinado con anterioridad, de forma que “no puede servir de mecanismo para dar vida a una realidad nueva, que debe nacer de una, también nueva iniciativa”. En concreto sobre la introducción de enmiendas en el Senado, el Tribunal ha confirmado que esta Cámara es de segunda lectura, deduciéndose de los arts. 88 a 91 CE la intención del constituyente de que la aprobación de los textos legislativos se produzca siempre, en primer lugar, en el Congreso de los Diputados, limitándose la facultad de enmienda del Senado a aquellas que guarden una mínima relación de homogeneidad material con los proyectos de ley remitidos por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anterior doctrina conduce necesariamente a la inconstitucionalidad de la norma recurrida, toda vez que las medidas fiscales incluidas en el citado proyecto de ley número 121-000026 se referían a los impuestos sobre la renta de las personas físicas, sociedades, patrimonio y valor añadido, y a los tributos locales sobre bienes inmuebles y sobre actividades económicas, sin que hubiera en dicho proyecto de ley ninguna alusión al impuesto sobre depósitos bancarios, como tampoco la había en el proyecto de ley aprobado por el Congreso de los Diputados. En consecuencia, la introducción en el Senado de la enmienda de adición número 169 por la que se incorporó al proyecto de ley el capítulo II, artículo 19, regulador del referido impuesto, se hizo sin conexión material alguna entre la materia sobre la que versaba la enmienda y las que se contenían en el proyecto de ley que había sido ya aprobado por el Congreso de los Diputados, sin que tal ausencia de conexión pueda salvarse afirmando que el impuesto sobre depósitos bancarios constituye una medida tributaria semejante a la restantes, ya que dicho tributo no tenía ánimo recaudatorio, toda vez que se fijó un tipo de gravamen del 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artículo 19 supondría un ejercicio fraudulento de la potestad tributaria y en consecuencia una lesión directa de las competencias financieras autonómicas, con infracción de los principios de lealtad constitucional y de interdicción de la arbitrariedad de los poderes públicos (art. 9.3 CE). El tributo aprobado, con un tipo de gravamen del 0 por 100, tiene como única finalidad impedir la efectividad de los impuestos autonómicos similares ya existentes o que pudieran crearse en un futuro. Se trata además de una mera apariencia de tributo, ya que no se establece ninguna obligación de pago, a través de la cual el Estado ha tratado de activar la prohibición de doble imposición autonómica prevista en el art. 6.2 de la Ley Orgánica de financiación de las Comunidades Autónomas (LOFCA), impidiendo de forma ilegítima el ejercicio de la competencia de las Comunidades Autónomas para la creación de tributos (arts. 133.2 CE y 203.5 del Estatuto de Autonomía de Cataluña) y vulnerando su autonomía financiera [arts. 156.1 y 157.1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ejercido así sus propias competencias de forma abusiva, de naturaleza similar al abuso de derecho prescrito por el art. 7 del Código civil y a la desviación de poder en el ejercicio de las competencias a que se refiere el art. 63 de la Ley 30/1992, de 26 noviembre, del régimen jurídico de las Administraciones públicas y del procedimiento administrativo común. Cita en su apoyo la doctrina constitucional contenida, entre otras, en la STC 13/2007, de 18 enero, FFJJ 8 y 9, de acuerdo con la cual no se permiten las interferencias en el ejercicio legítimo de las competencias de los otros entes territoriales, citándose también la STC 123/2012, de 5 junio, en cuyo fundamento jurídico 8 este Tribunal ha recordado que el principio de lealtad resulta esencial en las relaciones entre las diversas instancias del poder territorial, teniendo además una específica proyección en materia financiera (con cita de la STC 109/2011, de 22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del impuesto, con la mera voluntad de impedir el ejercicio de las competencias autonómicas, carece además de toda racionalidad, lo que supone un ejercicio arbitrario del poder normativo del Estado. Se refiere a continuación al principio de interdicción de la arbitrariedad de los poderes públicos que consagra el art. 9.3 CE, precepto que también habría sido infringido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afirma específicamente la inconstitucionalidad del apartado 13 del art. 19 de la Ley 16/2012, que limitaría indebidamente la aplicación de las medidas de coordinación o compensación que contempla el art. 6.2 LOFCA. Se insiste en este punto en que, caso de no admitir los anteriores argumentos de inconstitucionalidad, es claro que la Comunidad Autónoma de Cataluña tenía derecho a que se le aplicaran dichas medidas para contrarrestar la pérdida de ingresos consecuencia del establecimiento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concreto la limitación de las medidas compensatorias que establece el párrafo segundo del artículo 19.13 impugnado contradice lo establecido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ese mismo párrafo supone retrotraer los efectos de la creación del impuesto sobre los depósitos en las entidades de crédito estatal a los impuestos autonómicos preexistentes al 1 de diciembre de 2012, fecha anterior a su entrada en vigor, lo que vulnera el art. 9.3 CE, que proscribe la retroactividad de las normas desfavorables.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Constitucional, a propuesta de la Sección Segunda,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Asimismo, se ordenó publicar la incoación del recurso en el “Boletín Oficial del Estado”, lo que se llevó a efecto en el número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se registró el escrito del Abogado del Estado por el que se solicita se le tenga por personado, en la representación que legalmente ostenta, así como que se le conceda una prórroga por el máximo legal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13 de mayo de 2013, acuerda incorporar a las actuaciones el escrito del Abogado del Estado, teniéndosele por personado en el presente proceso, así como conceder la prórroga solicitada, ampliando en ocho días más el plazo establecido en la anterior providencia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16 de mayo de 2013, el Presidente del Senado comunicó el acuerdo de la Mesa de la Cámara por el que se persona en el procedimiento y comparece a los solos efectos de formular alegaciones en relación con los vicios del procedimiento legislativo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2013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mayo 2013 tuvo entrada en el Registro General de este Tribunal el escrito del Letrado de las Cortes Generales y jefe de la Asesoría Jurídica del Senado, en nombre y representación de dicha Cámara, por el que formula alegaciones únicamente en relación con los vicios de procedimiento legislativo que se alegan. Se refiere así tan sólo al motivo relativo a la falta de congruencia material en las enmiendas presentadas y aprobadas por el Senado, que según la demanda fundamentarían la inconstitucionalidad del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brevemente los términos de la impugnación, afirma que la recurrente carece de legitimación activa para plantear esta objeción, toda vez que la doctrina del Tribunal Constitucional sobre la conexión debida entre las enmiendas presentadas y el ámbito material de los proyectos de ley se basa en el derecho de participación política de los representantes, derechos que sufrirían si se admitiesen enmiendas con exceso material. Tras citar la doctrina contenida en las SSTC 119/2011, de 5 julio; 136/2011, de 13 septiembre; 204/2011, de 15 diciembre, y 209/2012 de 14 noviembre, concluye que los vicios de procedimiento sólo pueden tener relevancia constitucional cuando lesionen derechos de participación política, lo que sólo puede darse cuando se trate de miembros del órgano legislativo que tramita la ley en cuestión. En consecuencia y al carecer el recurrente de esa condición, no puede invocar en este caso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afirma que en todo caso se producía en este supuesto la homogeneidad material entre la enmienda originaria del artículo 19 del proyecto y el ámbito material de dicho proyecto. Teniendo en cuenta así la doctrina de las citadas SSTC 119/2011 y 136/2011, expone que el objeto del proyecto era la adopción de diversas medidas tributarias, siendo la enmienda precisamente relativa a la introducción de un nuevo tributo, por lo que con aplicación de la doctrina contenida en el fundamento jurídico 4 de la STC 209/2012, de 14 noviembre, no puede negarse dicha falta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en la misma STC 119/2011, de 5 julio, se declaró que el órgano al que reglamentariamente corresponda efectuar ese análisis contará con un amplio margen de valoración. En este caso, los órganos del Senado encargados de la calificación material de las enmiendas, el Presidente y la Mesa, han actuado con todo rigor.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que desde la STC 119/2011, de 5 julio, y precisamente para garantizar el cumplimiento de la doctrina allí recogida, el Senado ha configurado un procedimiento específico, que se acompaña en un documento anexo al escrito de alegaciones, por el cual la Mesa del Senado delega en el Presidente la calificación material de las enmiendas, sin perjuicio de que sus acuerdos puedan someterse a la reconsideración de la Mesa en virtud del artículo 36, apartado 2, del Reglamento del Senado. Todas las enmiendas presentadas son, por tanto, revisadas por los letrados correspondientes, que advierten sobre sus posibles excesos respecto al ámbito material del proyecto. En consecuencia, si la enmienda número 169 del Grupo Popular, que fue la que dio lugar a que se añadiera el artículo 19 controvertido, fue admitida a trámite, lo fue tras un examen de mínima compatibilidad, añadiendo en todo caso que ningún senador o grupo parlamentario suscitó la cuestión de que las enmiendas carecían de congruencia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considera que es claro no sólo que el recurrente carece de legitimación procesal, sino que tampoco se ha cometido ningún vicio formal o de procedimiento debido a la falta de congruencia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junio de 2013 tiene entrada en este Tribunal el escrito del Abogado del Estado, por el que se solicita la desestimación del mismo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inicia el escrito con la descripción de los elementos esenciales del impuesto sobre depósitos en las entidades de crédito creado por el art. 19 de la Ley 16/2012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sucinta exposición, se refiere el escrito a la relación que el presente asunto tiene con los recursos de inconstitucionalidad interpuestos por el Presidente del Gobierno contra el Decreto-ley de Cataluña 5/2012, de 18 diciembre, recurso registrado con el número 7279-2012 en este Tribunal; así como con el recurso interpuesto contra el artículo 41 y la disposición final séptima de la Ley del Principado de Asturias 3/2012, de 28 diciembre, de presupuestos generales para 2013, registrado con el número 631-2013 en este mismo Tribunal. Añade que, además, el presente proceso guarda relación directa con los recursos 1873-2013 y 1881-2013 interpuestos, respectivamente, por el Gobierno de Cataluña y el Consejo de Gobierno del Principado de Asturias, contra el mismo art. 19 de la Ley 16/2012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los tres motivos de inconstitucionalidad que se alegan en relación al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posible infracción de las normas de tramitación parlamentaria, comienza recordando la doctrina citada en las SSTC 119/2011, de 5 julio, y 136/2011, de 13 septiembre, así como la posterior 209/2012, de 14 noviembre [FJ 4 b)], cuya aplicación al caso que aquí se plantea permite descartar la inconstitucionalidad pretendida por este motivo. Destaca que la Ley 16/2012 es una ley tributaria de contenido heterogéneo, que se refería a distintas normas tributarias, de manera que era en realidad una norma tributaria de carácter transversal que modificaba la práctica totalidad de figuras principales del sistema tributario. No puede así afirmarse que exista una absoluta desconexión entre la regulación de un impuesto nuevo con el contenido del proyecto inicial, sin perjuicio de que el impuesto sobre los depósitos en las entidades de crédito guarda conexión con el impuesto sobre el valor añadido, como ya estableció la STC 210/2012, de 14 noviembre. Añade que, para que una enmienda pueda entenderse conexa con el texto enmendado, basta una mínima relación material, de forma que “sólo cuando sea evidente y manifiesto que no existe tal conexión deberá rechazarse la enmienda”. La alegación de la demanda carece por tanto de todo fundamento, toda vez que no puede afirmarse que existiera una evidente y manifiestan desconexión entre el contenido del proyecto y la citada enmienda, sin perjuicio de que tal principio no puede suponer que el procedimiento legislativo se vea atrapado en unas reglas tan rígidas que hagan del debate parlamentario un procedimiento completamente reglado. Y añade, en fin, que durante la tramitación parlamentaria, diputados y senadores eran conscientes de que se discutía un texto que pretendía modificar las principales figuras del sistema tributario español, sin que en consecuencia la enmienda aprobada en el Senado planteara “una problemática política por completo ajena a la que hasta el momento había rodeado” el texto original (SSTC 119/2011, FJ 9, y 136/2011,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a la tacha de infracción de los principios de lealtad constitucional y de interdicción de la arbitrariedad, así como al pretendido ejercicio fraudulento de la potestad tributaria originaria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para empezar, se refiere el escrito a la potestad tributaria originaria del Estado, tal y como ha sido interpretada en general por la doctrina de este Tribunal (STC 100/2012, de 8 de mayo, FJ 7 entre otras), y, concretamente, por la STC 210/2012, de 14 noviembre, que efectivamente declaró la compatibilidad del impuesto sobre los depósitos en las entidades de crédito extremeño con las figuras tributarias estatales existentes al tiempo de dictarse aquella Sentencia, pero que no restringe a futuro la potestad tributaria originaria que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que la citada STC 210/2012 no impide que el Estado ejerza su potestad tributaria creando un impuesto similar, sino que simplemente su establecimiento le impone instrumentar las medidas de compensación o coordinación adecuadas de las Comunidades Autónomas que vean disminuidos efectivamente sus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cita la doctrina constitucional sobre la arbitrariedad del legislador, detallando la contenida en la STC 238/2012, de 13 diciembre, FJ 6 b), en la que el Tribunal insiste en el cuidado que se ha de tener cuando se trata de aplicar preceptos generales e indeterminados como sucede con la interdicción de la arbitrariedad, sin que el simple disenso de los recurrentes permita hablar de arbitrariedad, ya que no debe confundirse lo que es arbitrio legítimo con capricho, inconsecuencia o incoherencia.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centra la cuestión en sí el art. 19 de la Ley 16/2012 “carece de toda justificación” y responde al simple “capricho, inconsistencia o incoherencia”; o más bien obedece a la razonable consecución de un fin constitucionalmente amparado.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tras recordar la extensa doctrina acerca de los posibles fines extrafiscales de los tributos, hace hincapié en que de la demanda parece deducir de la doctrina de este Tribunal la inconstitucionalidad de los impuestos de tipo cero, cuando lo cierto es que tal consecuencia no puede derivarse de ningún precepto constitucional. En este punto, se recuerda que cuando el Tribunal se ha referido a la necesaria finalidad fiscal de todo impuesto, lo ha hecho únicamente para recordar que el artículo 31 de la Constitución, en su vertiente del principio de capacidad económica, exige que todo tributo este anudado a una manifestación de riqueza, de modo que sin ésta no pueda existir aquél. Ahora bien, la Constitución no impide que transitoriamente, y precisamente en atención a otros fines constitucionalmente legítimos, se pueda configurar un tributo cuyo hecho imponible sea una manifestación de riqueza, con un tipo cero de gravamen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impuesto sobre los depósitos en las entidades de crédito, que se configura como un auténtico impuesto, si bien por razones de política económica se configura temporalmente con tipo de gravamen cero. Esta posibilidad de hecho está expresamente prevista en el artículo 55 de la Ley general tributaria, existiendo tributos con tipo cero en nuestro ordenamiento, como sucede con el impuesto especial sobre el vino y bebidas fermentadas regulado en los artículos 27 y siguientes de la Ley 38/1992, de 28 diciembre, de impuestos especiales, cuyo artículo 30 establece un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existen razones de política económica que justificaron el establecimiento inicial de un tipo cero en el art. 19 de la Ley 16/2012, cuya finalidad declarada en el preámbulo es asegurar un tratamiento fiscal armonizado que garantice una mayor eficiencia en el funcionamiento del sistema financiero. Se refiere en este punto el alegato a la gravedad de la crisis financiera, recogiendo algunas afirmaciones del informe anual del Banco de España de 2008 en las que se aprecia la singular gravedad esta crisis, que probablemente sólo encuentre parangón con la crisis de 1929. Se refiere asimismo a los informes de 2009 y 2011 de la misma entidad. En relación en concreto con la situación de las entidades de depósito españolas, se cita el informe de estabilidad financiera del Banco de España de noviembre 2012, destacando de forma pormenorizada las tensiones financieras en el área del euro, los problemas de financiación de las entidades bancarias, al no poder acceder con facilidad a los mercados mayoristas de financiación, y la bajada de la rentabilidad de las entidades de depósito. Así descritas, y dado su agravamiento, como destaca el “Boletín económico del Banco de España” de marzo 2013, no puede desconocerse la grave incidencia que un impuesto sobre los depósitos en las entidades de crédito como el establecido por Extremadura, Andalucía, Canarias, Cataluña y Asturias ocasiona en un sector financiero ya gravemente deteriorado por la crisis. A partir de lo anterior, expone detalladamente los desequilibrios del sistema financiero que afectan, de un lado, al sector de las entidades de depósito y su reestructuración; y, de otro lado, al acceso al crédito de las empresas economías domésticas y, por tanto, en definitiva, al propio crecimiento económico. Se refiere además a los datos aportados por la asociación española de la banca en relación con el coste para el conjunto del sector de las entidades de crédito que supondría la extensión de un impuesto con la configuración del autonómico, establecido por Cataluña, al conjunto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el art. 19 de la Ley 16/2012 se incardina no sólo en la competencia contenida en el art. 149.1.14 CE, sino también en el título contenido en el ordinal 13 del mismo art. 149.1 CE. Se insiste en este punto en que, además de la finalidad fiscal, la norma tiene un claro fin extrafiscal, constitucionalmente legítimo y estrechamente vinculado con la grave situación de crisis financiera que afecta a las entidades de depósito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finalidad del impuesto sobre los depósitos en las entidades de crédito estatal de asegurar un tratamiento fiscal armonizado debe enmarcarse en el ámbito de la carta de emplazamiento que el 27 febrero 2012 la Comisión Europea remitió al Ministro de Asuntos Exteriores sobre la posible incompatibilidad con los artículos 49 (derecho de establecimiento), 56 (libre circulación de servicios) y 63 (libre circulación de capitales) del Tratado de funcionamiento de la Unión Europea de ciertas disposiciones de la legislación tributaria española referente al impuesto que se aplica a los bancos en algunas comuniones autónomas. La carta se refería en concreto a las ventajas fiscales de los impuestos extremeño y andaluz en función de la localización de la sede social y sucursales. En este sentido, la creación del impuesto sobre los depósitos en las entidades de crédito estatal debe enmarcarse también en la corriente actual en el seno de la Unión Europea en relación con el gravamen de determinadas operaciones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19.13 de la Ley 16/2012 no infringe el art. 6.2 LOFCA. Comienza en este punto por destacar que el art. 19.13 de la Ley 16/2012 tiene también la finalidad legítima de evitar que, durante la tramitación parlamentaria del impuesto estatal sobre los depósitos en las entidades de crédito, Comunidades Autónomas que hasta el momento no habían mostrado interés alguno en gravar ese hecho imponible, lo hicieran precipitadamente, adelantándose al legislador estatal, tal y como hizo Cataluña. En este punto, describe en detalle el proceso por el cual la Comunidad Autónoma de Cataluña estableció el impuesto sobre depósitos en entidades de crédito, y la públicamente denunciada finalidad de establecer tal impuesto para “blindar el espacio fiscal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insiste el escrito en que esta Comunidad Autónoma no ha perdido recaudación alguna a consecuencia del establecimiento del impuesto estatal, por lo que ni siquiera la limitación de la compensación le supone perjuicio alguno. En efecto, el periodo impositivo del impuesto sobre los depósitos en las entidades de crédito catalán coincide con el año natural, devengándose el impuesto el último día del periodo impositivo, por tanto el primer ingreso por el impuesto establecido no se realizaría hasta antes del 31 marzo 2013. Se refiere también a la tramitación legislativa para apuntalar su conclusión de que la creación del impuesto sobre los depósitos en las entidades de crédito fue oportunista, una vez que al menos desde el 29 noviembre 2012 era conocida la intención de crear un impuesto estatal sobre los depósitos en las entidades de crédito, citando asimismo las palabras del portavoz del gobierno de la Generalitat de Cataluña a tenor de los cuales la aprobación del Decreto-ley 5/2012 tenía como finalidad el “blindaje” del espacio fiscal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impuesto sobre los depósitos en las entidades de crédito catalán no cumplía en ningún supuesto los requisitos de la compensación del art. 6.2 LOFCA, ya que el tributo creado por esta Comunidad Autónoma no comenzaría a percibir los ingresos hasta finales de 2013, de manera que no habría pérdida recaudatoria estrictamente. Finaliza afirmando que, en todo caso, la aprobación in extremis de tributos autonómicos con la sola finalidad —expresamente declarada— de acceder a la compensación estatal resulta manifiestamente contraria al espíritu y a la letra del art. 6.2 LOFCA, lo que igualmente avala la constitucionalidad del art. 19.13, que precisamente intenta evitar este tipo de maniobras.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LOTC. Por Auto del Tribunal de 17 de septiembre de 2013, se acuerda la inadmisión a trámite de las recusaciones promovidas,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art. 19 de la Ley 16/2012, de 27 de diciembre, por la que se adoptan diversas medidas tributarias dirigidas a la consolidación de las finanzas públicas y al impulso de la actividad económica (en adelante, Ley 16/2012), que establece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interpuesta por la Abogada de la Generalitat de Cataluña, en representación del Gobierno de esta Comunidad Autónoma, se sustenta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art. 19 de la Ley 16/2012 se reputa inconstitucional por haberse infringido en su tramitación y aprobación el procedimiento legislativo, ya que el precepto tiene su origen en dos enmiendas, (las número 166 y 169), introducidas durante la tramitación de la norma en el Senado (“Boletín Oficial de las Cortes Generales” núm. 130, de 4 de diciembre de 2012), que no guardaban conexión con las materias contenidas en el proyecto de ley aprobado por el Congreso de los Diputados, por la que se adoptan diversas medidas tributarias dirigidas a la consolidación de las finanzas públicas y al impulso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artículo 19 supondría un ejercicio fraudulento de la potestad tributaria con lesión directa de las competencias financieras autonómicas para la creación de tributos (arts. 133.2 CE y 203.5 del Estatuto de Autonomía de Cataluña), así como de la autonomía financiera [arts. 156.1 y 157.1 b) CE] de las Comunidades Autónomas, además de infringir los principios de lealtad constitucional y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inconstitucionalidad del apartado 13 del art. 19 de la Ley 16/2012, que limitaría indebidamente la aplicación de las medidas de coordinación o compensación que contempla el art. 6.2 de la Ley Orgánica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controversia, debemos considerar la incidencia que pueda tener en este proceso la modificación del precepto que se impugna, el art. 19 de la Ley 16/2012, mediante el art. 124 del Real Decreto-ley 8/2014, de 4 de julio, de aprobación de medidas urgentes para el crecimiento, la competitividad y la eficiencia (Real Decreto-ley 8/2014, en adelante), y, posteriormente, mediante el art. 124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consolidada doctrina, estas modificaciones no privan de objeto al presente recurso. De una parte, porque la controversia que se plantea tiene contenido competencial que no puede considerarse resuelto tras las modificaciones legislativas indicadas, como ya hemos precisado en la STC 26/2015, de 19 de febrero (FJ 3), con cita de las SSTC 134/2011, de 20 de julio, FJ 2 b), y 161/2012, de 20 de septiembre, FJ 2 b). Y, de otra, porque el primero de los motivos se refiere al procedimiento legislativo mismo, de manera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(SSTC 136/2011, de 13 de septiembre, FJ 2, y 132/2013, de 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inconstitucionalidad, cuyo objeto hemos recogido en los antecedentes y resumido en el fundamento primero, coincide parcialmente en su objeto con el promovido por el Parlamento de Cataluña, (núm. 1808-2013), contra el mismo art. 19 de la Ley 16/2012, resuelto por la STC 26/2015,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 recurso se fundamentaba en tres motivos. En primer lugar, que el impuesto estatal sobre los depósitos en las entidades de crédito era una simulación de impuesto, sin encaje en el concepto de tributo del art. 31.1 CE, por lo que su establecimiento no podía ampararse en las competencias del Estado para crear tributos (arts. 133.1 y 149.1.14 CE). En segundo lugar, se alegaba que, si bien el Estado ostentaba la competencia para armonizar la imposición sobre los depósitos bancarios, ello debía hacerse mediante ley orgánica, ex art. 157.3 CE, por lo que el art. 19 de la Ley 16/2012 habría invadido el ámbito constitucionalmente reservado este tipo normativo. Por último, se imputaba al apartado 13 del artículo 19 una limitación indebida y, por ello inconstitucional, del alcance de la compensación en caso de ocupación de hechos, vulnerando así el art. 6.2 LOFCA y la autonomía financiera de las Comunidades Autónomas (art. 156.1 CE). Estos motivos son esencialmente coincidentes con los motivos segundo y tercero expresados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estas tachas hemos dado respuesta en nuestra STC 26/2015, 19 de febrero, en cuyos fundamentos jurídicos 4 a 6, que deben darse aquí por reproducidos, hemos descartado la inconstitucionalidad del citado art. 19 de la Ley 16/2012, por los motivos allí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que ahora debemos resolver se aduce sin embargo una tacha nueva, a la que por tanto deberá darse respuesta ahora. Como se ha hecho constar en los antecedentes, se aduce una posible infracción del procedimiento legislativo que condujo a la aprobación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alega que el establecimiento del impuesto estatal sobre depósitos en las entidades de crédito, no figuraba en el proyecto de ley presentado en el Congreso de los Diputados el 28 septiembre 2012, y aprobado por la Comisión de Hacienda y Administraciones públicas con competencia legislativa plena el 26 noviembre. Su inclusión se debió a la enmienda de adición número 169 introducida en el Senado por el Grupo Parlamentario Popular, carente de conexión, según la demanda, con las materias contenidas en el proyecto de ley aprobado por el Congreso de los Diputados, número 121-000026, y que se refería a los impuestos sobre la renta de las personas físicas, sociedades, patrimonio y valor añadido, y a los tributos locales sobre bienes inmuebles y sobre actividades económicas, pero sin contener ninguna alusión al impuesto sobre depósitos bancarios. Tal ausencia de conexión no puede además salvarse, se añade, afirmando que el impuesto sobre depósitos bancarios constituye una medida tributaria semejante a la restantes, ya que dicho tributo no tenía ánimo recaudatorio, toda vez que se fijó un tipo de gravamen del 0 por 100. Por tanto, y de acuerdo con la doctrina contenida en las SSTC 119/2011, de 5 julio, FJ 6, y 136/2011, de 13 septiembre, FJ 7, se incumple la exigencia de conexión de homogeneidad entre las enmiendas y los textos a enmendar, lo que conduce a su juicio a la inconstitucionalidad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enjuiciar el fondo de las cuestiones objeto de este proceso constitucional debemos dar respuesta a la objeción de procedibilidad que formula el Letrado del Senado, en la representación que ostenta, y que está vinculada a la controversia de fondo. Considera en su escrito que la recurrente no está legitimada para plantear una objeción sobre el proceso legislativo, toda vez que la doctrina del Tribunal Constitucional sobre la conexión debida entre las enmiendas presentadas y el ámbito material de los proyectos de ley se basa en el derecho de participación política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debe ser desestimada, para lo que basta recordar que este Tribunal viene realizando una interpretación flexible de la legitimación de las Comunidades Autónomas para interponer recursos de inconstitucionalidad, contenida en el art. 32.2 de la Ley Orgánica del Tribunal Constitucional (LOTC). Al respecto, hemos afirmado en reiteradas ocasiones que dicha legitimidad en los recursos de inconstitucionalidad se encuentra fundamentalmente al servicio de la depuración del ordenamiento jurídico (por todas, con cita de muchas otras, SSTC 110/2011, de 22 de junio, FJ 2, y STC 239/2012, de 13 de diciembre, FJ 2), en coherencia con el objeto y finalidad misma del recurso de inconstitucionalidad, de carácter abstracto y orientado a la depuración objetiva del ordenamiento. Por ello, dicha legitimación ha sido entendida en los mismos términos y con la misma amplitud que la del resto de los sujetos contemplados en los anteriores artículos de la Ley Orgánica del Tribunal Constitucional, al haberles sido reconocida a cada uno de ellos “no en atención a su interés, sino en virtud de la alta cualificación política que se infiere de su respectivo cometido constitucional” [entre otras, SSTC 5/1981, de 13 de febrero, FJ 3; 180/2000, de 19 de junio, FJ 2 a); 274/2000, de 15 de noviembre, FJ 2, y 96/2002, de 25 de abril, FJ 3]. En fin, de acuerdo con nuestra doctrina contenida en las SSTC 119/2011, de 5 julio, 136/2011, de 13 septiembre, 204/2011, de 15 diciembre, y 209/2012 de 14 noviembre, y atendiendo al citado objeto mismo del recurso de inconstitucionalidad, corresponde aquí garantizar la primacía de la Constitución (art. 27.1 LOTC) y asegurar en concreto el correcto funcionamiento del sistema de producción normativa preconizado por la Norma fundamental, depurando y expulsando del ordenamiento las normas impugnadas que se aparten de dicho sistema. Debe así rechazarse la citada objeción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esta tacha de inconstitucionalidad debemos partir de la doctrina sobre el ejercicio del derecho de enmienda al articulado, recogida, en esencia, en las Sentencias citadas por las partes; las SSTC 119/2011, de 5 julio, FJ 6 (recurso de amparo avocado núm. 7464-2003); 136/2011, de 13 septiembre, FJ 7 (recurso de inconstitucionalidad núm. 1390-1999); y 176/2011, de 8 de noviembre (recurso de inconstitucionalidad núm. 1827-2000); así como las posteriores SSTC 209/2012, de 14 de noviembre (recurso de inconstitucionalidad núm. 1848-2002), 132/2013, de 5 de junio (recurso de inconstitucionalidad núm. 4247-2002), y 120/2014, de 17 de julio (recurso de inconstitucionalidad núm. 1756-2003). Todas ellas dieron respuesta a recursos planteados, entre otros motivos, por infracciones del procedimiento legislativo similares a la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anterior doctrina pueden extraerse las siguientes ideas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ejercicio del derecho de enmienda al articulado, como forma de incidir en la iniciativa legislativa, debe respetarse una conexión mínima de homogeneidad con el texto enmendado,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determinar si concurre tal conexión material u homogeneidad mínima entre la iniciativa legislativa y la enmienda presentada, el órgano al que reglamentariamente corresponda efectuar ese análisis contará en todo caso con un amplio margen de valoración, pues de lo contrario el procedimiento legislativo se vería atrapado en unas reglas tan rígidas que pueden convertir el debate parlamentario en un procedimiento completamente reglado. Esto significa que los órganos de gobierno de las Cámaras deben contar con un amplio margen de apreciación para determinar la existencia de conexión material entre enmienda y proyecto o proposición de ley objeto de debate, debiendo éstos pronunciarse de forma motivada acerca de la conexión,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se trate de normas de contenido heterogéneo también debe respetarse el correcto ejercicio del derecho de enmienda dentro del procedimiento legislativo, si bien en este caso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 (STC 136/2011, de 13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consideraciones, procede examinar si se ha infringido, como alega la demanda, el citado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considerar cuál ha sido la valoración del órgano que reglamentariamente tiene encomendado el examen de las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de la enmienda número 169 del Grupo Popular, que dio lugar a que se añadiera el artículo 19 que se impugna, fue objeto de un examen previo y específico por parte del órgano que tiene encomendada esta función, la Mesa del Senado, que como se expone en el escrito de alegaciones de esta Cámara tiene delegada la calificación material de las enmiendas en el Presidente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precisamente consecuencia de un nuevo procedimiento aprobado para dar cumplimiento a la doctrina contenida en la STC 119/2011 en relación con la calificación de las enmiendas. Dicho procedimiento se aplica a la presentación de propuestas de modificación a una iniciativa legislativa, una vez concluido el plazo de presentación de enmiendas, recogido en el acta de la reunión de la Mesa del Senado del 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importa, en dicho procedimiento, una vez finalizado el plazo de presentación de enmiendas, el Presidente del Senado, por delegación conferida por la Mesa de la Cámara, procede a calificar e inadmitir de forma motivada las enmiendas que incumplan los requisitos para su tramitación, abriéndose la posibilidad de que los grupos parlamentarios o senadores afectados puedan solicitar la reconsideración del acuerdo correspondiente a la Mesa, en virtud del artículo 36.2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dato, junto con el hecho cierto de que durante el proceso ningún senador o grupo parlamentario suscitó la cuestión de que las enmiendas carecían de congruencia material, debe tenerse en cuenta precisamente a la luz de nuestra doctrina citada, pues hemos reiterado que el órgano al que reglamentariamente corresponda efectuar ese análisis contará con un amplio margen de valoración y que, en concreto, cuando éste aprecie una falta absoluta de conexión, deberá valorar, siquiera de forma sucinta, si concurre o no tal conexión mínima,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examen de la práctica seguida por el Senado permite comprobar que este órgano ha tenido en cuenta la doctrina citada, a partir de la publicación de la citada STC 119/2011. En la actualidad, la Presidencia del Senado, en ejercicio de la citada delegación por parte de la Mesa de la Cámara, efectúa un control de coherencia y homogeneidad de enmiendas, existiendo numerosos ejemplos; entre otros, inadmisión a trámite de la enmienda número 165, planteada por el Grupo Parlamentario Popular, por falta de conexión con el proyecto de ley reguladora de la jurisdicción social (“Boletín Oficial de las Cortes Generales.” Senado, núm. 111, de 14 de septiembre de 2011); o inadmisión de la enmienda número 573, planteada por el mismo Grupo Popular, al entenderla desconectada con el proyecto de ley de medidas urgentes para la reforma del mercado laboral (“Boletín Oficial de las Cortes Generales.” Senado, núm. 70, de 13 de junio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no consta que la enmienda no fuera admitida, ni tampoco, como ya se ha adelantado, que algún senador o grupo parlamentario suscitase la cuestión de su carencia de congruencia material. Este dato tiene relevancia, sobre todo si se tiene en cuenta que los recursos de inconstitucionalidad resueltos por las citadas SSTC 119/2011 y siguientes, hasta la más reciente STC 120/2014, tienen en común el referirse a los años 2002 y 2003, además de haber sido en todos los casos planteadas por un grupo de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significa que este Tribunal deba dejar de controlar si existe la citada coherencia entre enmiendas, pero sí que existe una presunción de coherencia u homogeneidad por el hecho de no haber sido inadmitida; en especial, comprobado que en dicha Cámara se ha implantado, con carácter expreso según se ha constatado, una práctica para verificar específicamente dicho aspecto en las enmiendas que se introduzcan. Esta práctica “se incardina en el amplio margen de apreciación que hemos reiterado deben tener los órganos de gobierno de las Cámaras para determinar la existencia de conexión material entre enmienda y proyecto o proposición de ley objeto de debate” (SSTC 119/2011, FJ 7, y 204/2011,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contenido de la misma, debemos examinar, si pese al anterior control por parte del órgano de la Cámara, la introducción del impuesto sobre los depósitos en las entidades de crédito a través del artículo 19 impugnado adoleció de una ausencia “mínima” de homogeneidad con el texto enmendado, afectándose así tanto al derecho del autor de la iniciativa (art. 87 CE), como al carácter instrumental del procedimiento legislativo (art. 66.2 CE), lo que “podría alcanzar relevancia constitucional, si alterase de forma sustancial el proceso de formación de voluntad en el seno de las Cámaras”, como hemos hecho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proyecto tenía como objeto una serie de medidas tributarias, de forma que en principio es posible apreciar la vinculación entre una enmienda que establece un tributo nuevo y un texto legislativo que modifica las figuras centrales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Abona esta conclusión el propio contenido heterogéneo del proyecto de ley, que se refería de forma conjunta a diversos tributos, lo que permite ya desestimar la tacha en aplicación de nuestra doctrina contenida en la STC 209/2012, de 14 de noviembre, FJ 4 b), que precisamente se refiere a la introducción, mediante enmiendas, de nuevas figuras tributarias en un texto legislativo que, entre otros aspectos, contenía una serie de medidas tributarias. En la citada Sentencia y fundamento afirmamos que “la introducción de las tres enmiendas citadas en el texto de una iniciativa que precisamente hacía referencia a medidas tributarias en diferentes materias (impuestos y tasas) no sólo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argumento de la total desconexión entre la enmienda y el proyecto de ley decae con el análisis del segundo, ya que dicho proyecto se articula precisamente como una norma tributaria de carácter transversal cuya finalidad era modificar los principales tributos del sistema. En efecto, en el texto aprobado por el Congreso de los Diputados (publicado en el “Boletín Oficial de las Cortes Generales”, núm., 125, de 23 de noviembre de 2012, pág. 34) se introducían importantes modificaciones en los impuestos sobre la renta de las personas físicas (capítulo I), sobre sociedades (capítulos II y III), sobre el patrimonio (capítulo IV), sobre la renta de no residentes (capítulo V), sobre el valor añadido (capítulo VI), sobre transmisiones patrimoniales y actos jurídicos documentados (capítulo VII), en los tributos locales (capítulo VIII) y en el catastro inmobiliario (capítulo IX), y, en fin, en 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así de una norma cuyo contenido tributario resultaba evidente, aunque incluyendo distintos tributos, no puede afirmarse que exista una total falta de homogeneidad o desconexión, en los términos alegados por la demanda, y de acuerdo con nuestra doctrina reiterada, que exige cohonestar el examen de la posible vulneración constitucional con la necesaria flexibilidad en el procedimiento legislativo y el papel de control que a los órganos de gobierno corresponden y del que el proceso constitucional es siempre subsidiario. No habiéndose así constatado una alteración sustancial del proceso de formación de voluntad en el seno de las Cámaras, el presente motivo de inconstitucionalidad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de Cataluña contra el art. 19 de la Ley 16/2012, de 27 de diciembre, por la que se adoptan diversas medidas tributarias dirigidas a la consolidación de las finanzas públicas y al impulso de la actividad económica.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al que se adhieren el Magistrado don Luis Ignacio Ortega Álvarez y la Magistrada doña Encarnación Roca Trías respecto de la Sentencia dictada en el recurso de inconstitucionalidad núm. 1873-2013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interpuesto por el Gobierno de Cataluña contra el art. 19 de la Ley 16/2012, de 27 de diciembre, por el que se crea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26/2015, de 19 de febrero,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marzo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