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1457-2014,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2014 tuvo entrada en el Registro General de este Tribunal un oficio de la Sala de lo Social con sede en Burgos del Tribunal Superior de Justicia de Castilla y León al que se acompaña, junto con el testimonio del procedimiento ordinario núm. 435-2013, Auto de 6 de febrero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Varios pensionistas interpusieron demanda ante el Instituto Nacional de la Seguridad Social en reclamación de actualización de la pensión solicitando que se declarase el derecho a percibir la paga única compensatoria a que se refiere el apartado 1.2 del art. 48 de la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solicitaban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el 1 de octubre de 2013 estimando en parte la demanda, declarando “el derecho de todos los demandantes a que se considere como pensión del año 2012 la señalada en el apartado segundo del relato histórico de la presente incrementada en un 2,9 por 100 y que la misma sirva de base para el incremento acordado en el año 2013” y el “derecho de los actores a percibir las diferencias correspondientes al año 2012 que son la diferencia entre el 1 por 100 aplicado y el 2,9 por 100 debido”. Se condena al Instituto Nacional de la Seguridad Social (INSS) a abonar a los demandantes que se citan el pago de determinadas cantidades que se especifican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10 de diciembre de 2013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6 de febrero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de la CE, afectando de forma retroactiva a derechos adquiridos y con la vulneración del art. 9.3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del Tribunal Constitucional de 13 de marzo de 2014 se interesa que se certifique si además del Ministerio Fiscal el resto de las partes personadas evacuaron el traslado conferido en providencia de 10 de diciembre de 2013, remitiendo en su caso copia de los escritos presentados. La Sala proponente contestó que “en el presente procedimiento se dio el traslado acordado en la Providencia en la que se planteó la pertinencia de plantear la cuestión de inconstitucionalidad, pero sólo se presentó informe por el Ministerio Fiscal, cuyo testimonio se ha aportado en ese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 este Tribunal, a propuesta de la Sección Segunda, acordó admitir a trámite la cuestión mediante providencia de 8 de abril de 2014; reservar para sí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Castilla y León,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abril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registrado el 25 de abril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23 de abril de 2014 el Letrado de la Administración de la Seguridad Social se personó en nombre del Instituto Nacional de la Seguridad Social 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24 de abril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se personó, mediante escrito de alegaciones registrado en el Tribunal el 7 de mayo de 2014,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índice de precios al consumo (IPC) del año en curso, no constituye un derecho consolidado integrado en el patrimonio del pensionista, muy al contrario, constituye, a su juicio, una mera expectativa de derecho y, como mucho, un derecho condicionado a la fijación de su contenido por la Ley de presupuestos generales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general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ante este Tribunal con fecha 23 de mayo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Real-Decreto-ley 28/2012 de 30 de noviembre y este precepto hace referencia a la suspensión de lo previsto en el art. 48 apartado 1.1 de la Ley general de Seguridad Social, y lo dispuesto en el art. 27 apartado 1 párrafo segundo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puede compartir lo dicho por el Tribunal Superior de Justicia en el Auto de planteamiento de la cuestión de inconstitucionalidad de que en el caso que nos ocupa es obvia la vulneración por parte del Decreto-ley de la retroactividad, puesto que esta afirmación la hace respecto a las dos reglas que contiene el art. 2 de la norma: la primera, relativa a la suspensión para el ejercicio 2013 de la revalorización de las pensiones conforme al índice de precios al consumo y, la segunda, relativa a la actualización de las pensiones en los términos previstos en el art. 48.1.2 LGSS. Parte el Fiscal General de la distinta índole de ambas retroacciones, la primera sería de las denominadas impropias, ya que la suspensión busca causar el efecto de que las pensiones del año 2013 no se incrementen más del 1 por 100,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no puede compartir ese cuestionamiento. Sin embargo, afirma que cosa distinta es la decisión de suspender la aplicación de la paga única que debería realizarse antes del l de abril de 2013, paga que se determina con arreglo al aumento del índice de precios comprendido entre los días 1 de diciembre de 2011 y 30 de noviembre de 2012, pues al entrar en vigor el Real Decreto-ley el 1 de diciembre de 2012, está incurriendo, a su juicio, en un supuesto de retroactividad auténtica, al vincular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Administración de la Seguridad Social presentó su escrito de alegaciones el 26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suponen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 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esta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Ley general de la Seguridad Social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generales del Estado ha de ser un mero trasunto contable de la obligación legal contenida en la Ley general de la Seguridad Social,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del texto refundido de la Ley del estatuto de los trabajadores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nace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mayo de 2015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índice de precios al consumo (IPC) real y el IPC estimado para el año 2012 o, si por el contrario, tenían un derecho consolidado, asumido e integrado en su patrimonio. A este respecto, afirma la Sentencia que, los arts. 48.1.2 de la Ley general de la Seguridad Social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la cuestión de inconstitucionalidad núm. 1457-2014, y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mayo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