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10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núm. 155-2013, promovido por doña Noelia Márquez Guerrero, representada por el Procurador de los Tribunales don José Antonio Sandín Fernández y asistida por el Abogado don Emiliano Rubio Gómez, contra la Sentencia de la Sección Segunda de la Sala de lo Social del Tribunal Superior de Justicia de Castilla-La Mancha, de 8 de noviembre de 2012, que estimó el recurso de suplicación núm. 1312-2012 formulado frente a la Sentencia del Juzgado de lo Social núm. 2 de Ciudad Real, de 22 de marzo de 2012, recaída en autos núm. 63-2012 sobre despido. Han intervenido el Ministerio Fiscal y la Asociación para la ayuda al paralítico cerebral de Ciudad Real (Aspacecire), representada por el Procurador de los Tribunales don Pedro Antonio González Sánchez y asistida por el Letrado don José Manuel Díaz Mora.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día 10 de enero de 2013, el Procurador de los Tribunales don José Antonio Sandín Fernández, actuando en nombre y representación de doña Noelia Márquez Guerrero, presentó recurso de amparo constitucional contra la Sentencia de la Sección Segunda de la Sala de lo Social del Tribunal Superior de Justicia de Castilla-La Mancha, de 8 de noviembre de 2012,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en los que se fundamenta este recurso son los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en amparo trabajaba para Aspacecire desde el 25 de febrero de 2008. El 6 de octubre de 2011, la empleadora le comunicó que, con efectos desde el día de la fecha, se procedía a la reducción de su jornada de trabajo, pasando de siete horas diarias a dos, con la consiguiente minoración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10 de octubre de 2011, la trabajadora presentó demanda por modificación sustancial de condiciones de trabajo. Señalados los actos de conciliación y juicio para el día 21 de noviembre de 2011, alcanzaron las partes un acuerdo en la conciliación previa celebrada ante el Secretario Judicial, revocándose la inicial decisión empresarial. En el acta correspondiente, queda constancia de que la asociación demandada manifestó que, “en consonancia con la comunicación que ya efectuó la trabajadora el 10 de noviembre de 2011, reitera que viene a dejar sin efecto la reducción de jornada que con efectos de 6 de octubre de 2011 notificó a la misma, ratificando dicha comunicación de fecha 10 de noviembre de 2011”, y que, en consecuencia, la parte demandante “acepta el ofrecimiento empresarial a los efectos de llegar a un acuerdo amistoso, solicitando el archivo” de la demanda de modificación sustancial de condiciones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Ocho días después de dicho acuerdo, el día 29 de noviembre de 2011, la empresa notificó a la trabajadora la extinción del contrato, al amparo del art. 52 c) de la Ley del estatuto de los trabajadores (LET), por motivos económicos, en aras de garantizar la sostenibilidad de la empresa y su viabilidad de futuro, con efectos desde el día 14 de diciembre de 2011. En la comunicación se deja constancia de la grave situación económica de la Asociación tras la drástica reducción de sus fuentes de financiación y las pérdidas acumuladas, así como de la necesidad de recortar en gastos de personal para asegurar el mantenimiento de los servicios asistenciales que constituyen el fin de Aspacecire. Se indica, en ese sentido, que la Asociación, ante las circunstancias reseñadas, acordó en 2011 reducir los costes salariales, habiéndose resistido la recurrente en amparo en todo momento a aceptar dicha decisión, oponiéndose a la reducción de jornada y proporcional de salario (de siete a dos horas diarias) al punto de impugnar la decisión adoptada por la empleadora en octubre de 2011. Destaca que la conciliación en dicho procedimiento tuvo lugar tras haber constatado previamente la asociación que la había acordado incurriendo en defectos formales generadores de nulidad, e insiste en la negativa de la trabajadora a sumarse a dicha medida, ni siquiera cuando, en días posteriores a la conciliación judicial y anteriores al acto extintivo que era objeto de comunicación, se le propuso una solución de menor impacto (reducción de la jornada a cuatro horas). Se ponía a su disposición la indemnización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recurrente en amparo presentó demanda de despido el 20 de enero de 2012, turnada al Juzgado de lo Social núm. 2 de Ciudad Real (autos núm. 63-2012), articulando como pretensión principal la de nulidad del despido por vulneración del art. 24.1 CE (garantía de indemnidad).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núm. 145-2012, de 22 de marzo de 2012, del Juzgado de lo Social núm. 3 de Ciudad Real, da cuenta de la posición de la empleadora (necesidad de amortizar el puesto de trabajo de la actora a tenor de su circunstancia económica) y describe los términos de la oposición de la trabajadora (discriminación, enfrentamiento y animadversión de la empresa por el ejercicio de la acción judicial frente a la decisión adoptada en octubre de 2011, de reducción de jornada y salario). Bajo esas circunstancias, razona el juzgador que el litigio queda regido por la distribución de cargas probatorias propia del esquema de la prueba indiciaria en el proceso laboral, y concluye que a la trabajadora “se le extingue su contrato de trabajo, tras la presentación de una demanda judicial por modificación sustancial de las condiciones de trabajo, demanda que fue conciliada ante el Juzgado de lo Social número 3, en los términos declarados probados en el hecho segundo de la presente resolución. Evidenciando una correlación cronológica de tiempo, entre la conciliación y el despido que son lo suficientemente graves como para apreciar la nulidad de la relación extintiva acontecida”. Aunque admite que la empresa, asociación sin ánimo de lucro, está efectivamente atravesando una difícil situación económica, no es de recibo reponer “a la trabajadora en la situación anterior a la que venía manteniendo, y a los pocos días proceder a despedirla”, pues ese hecho revelaría, como sostenía también en sus alegaciones el Ministerio Fiscal, la vulneración de la garantía de indemnidad que integra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declaraba, en consecuencia, la nulidad del despido con obligación de readmisión de la demandante en su puesto de trabajo en las mismas condiciones que existían antes del acto extintivo y abono de los salarios dejados de percibir desde la fecha del mismo y hasta el día de la readmisión.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recurso de suplicación núm. 1312-2012, interpuesto por Aspacecire, dictó Sentencia núm. 1225-2012 la Sección Segunda de la Sala de lo Social del Tribunal Superior de Justicia de Castilla-La Mancha (Albacete), de 8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pronunciamiento que la sentencia de instancia infringió el art. 52 c) LET, al resultar procedente la extinción del contrato de trabajo: “aun asumiendo hipotéticamente que la demandante hubiera aportado indicios suficientes para que fuera aplicable la anterior doctrina sobre la inversión de la carga de la prueba, no ofrece duda que la empresa ha acreditado que la extinción contractual por causas económicas del art. 52 c) LET responde a razones reales debidamente acreditadas, como se reconoce en la propia sentencia de instancia (segundo párrafo del fundamento jurídico tercero), lo que descarta la existencia de toda presunta intención de represalia por parte del empleador”.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Haciendo un paralelismo con la sucesión de actos empresariales producida en el caso de autos (inicial notificación de reducción de jornada, luego revocada en conciliación, y posterior comunicación extintiva), recuerda que la Ley contempla situaciones encadenadas del estilo (por ejemplo, despidos consecutivos del mismo trabajador cuando el inicial es declarado improcedente por defectos de forma en el que el empresario ha optado por la readmisión —art. 110.4 Ley reguladora de la jurisdicción social—), y señala que, por consiguiente, “la revocación pactada en conciliación judicial entre trabajador y empresario de una modificación de las condiciones laborales, consistente en la reducción de la jornada y salario, no impide que posteriormente el empresario pueda adoptar la extinción del contrato por causas objetivas, si acredita cumplidamente la concurrencia de la causa alegada, como ocurre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tales razonamientos, se estima el recurso formalizado por Aspacecire y revoca la Sala la sentencia de instancia, declarando procedente la extinción del contrato de trabajo por causas objetivas.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resolución judicial dictada en suplicación, doña Noelia Márquez Guerrero interpone recurso de amparo, que fundamenta en la vulneración del derecho a la tutela judicial efectiva, en su vertiente de garantía de indemnidad (art. 24.1 CE). A tal fin reproduce la STC 125/2008, de 20 de octubre, que a su juicio resolvía en sentido estimatorio un caso similar al ahora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diciembre de 2013, la Sala Segunda de este Tribunal acordó admitir a trámite el recurso de amparo y, en aplicación del art. 51 de la Ley Orgánica del Tribunal Constitucional (LOTC), solicitó a los órganos judiciales que intervinieron en el proceso judicial las correspondientes actuaciones, ordenando los pertinentes emplazamientos para que en el plazo de diez días pudieran comparecer ante este Tribunal quienes hubieran sido parte en el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el Registro General de este Tribunal Constitucional el 17 de enero de 2014, el Procurador de los Tribunales don Pedro Antonio González Sánchez, actuando en nombre y representación de Aspacecire, se personó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la Secretaria de Justicia de la Sala Segunda, de 21 de febrero de 2014, se tuvo por personado al citado Procurador en la representación que ostenta y se procedió a dar vista de las actuaciones a las partes personadas y al Ministerio Fiscal, para que pudieran presentar las alegaciones que estimaran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Evacuó el trámite, mediante escrito registrado el 26 de marzo de 2014, la representación de la demandante de amparo, reiterando la cita de la STC 125/2008, de 20 de octubre, y poniendo énfasis en la conexión temporal que se evidencia entre la medida extintiva acordada y las acciones judiciales iniciadas frente a la modificación sustancial de condiciones de trabajo producida en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26 de marzo de 2014 tuvo entrada en este Tribunal Constitucional el escrito de alegaciones de Aspacecire. Opone dos causas de inadmisión y su discrepancia con lo aducido de contrario sobre la cuestión de fondo. En concreto: i) denuncia la falta de agotamiento de los medios de impugnación previstos por las normas procesales [art. 50.1 a) en relación con el art. 44.1 a) LOTC], toda vez que no se interpuso recurso de casación para unificación de doctrina frente a la Sentencia de suplicación contra la que se dirige el amparo, manifestándose como justificación de ello la pretendida inexistencia de sentencias de contraste para tal unificación doctrinal cuando lo cierto es que, en el escrito de impugnación del recurso de suplicación, la demandante de amparo hacía referencia a varios pronunciamientos afines a su postura procesal; ii) postula la extemporaneidad del recurso de amparo, al haberse interpuesto transcurrido el plazo de 30 días del art. 44.2 LOTC, computado desde la fecha de notificación de la Sentencia de suplicación recurrida; iii) en cuanto al debate sustantivo, considera que no hubo lesión del art. 24.1 CE, ya que quedó acreditada la realidad económica empresarial que motivó la extinción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registró su escrito de alegaciones el día 31 de marzo de 2014, interesando el otorgamiento del amparo. A su criterio, la Asociación empleadora no probó la existencia de motivos para el despido ajenos a todo interés lesivo de derechos fundamentales. En efecto, aplicando la doctrina de la inversión de la carga de la prueba —dice el Ministerio público— se advierte que la entidad demandada no logró justificar con un mínimo de razonabilidad la secuencia de sus actos: que primeramente redujera la jornada a dos horas; que días después la volviese a ampliar a siete y, en fin, que muy pocos días más tarde, sin haber intentado adoptar conforme a Derecho la decisión inicial de reducción de jornada que sostiene haber revocado por defectos formales, prescindiera definitivamente de los servicios de la trabajadora al pretendido amparo de causas objetivas que no se tomaron en consideración días anteriores. Aspacecire, en suma, no ofreció razón que explicara su errática conducta, deduciéndose de ello que la decisión extintiva vino determinada por el previo ejercicio de acciones en su contra por parte de la trabajadora, lo que obliga a calificar la extinción como nula y a la sentencia recurrida como vulneradora del derecho a la tutela judicial efectiva del art. 24.1 CE, en su vertiente de garantía de indemnidad.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 este Tribunal, mediante providencia de 14 de abril de 2015, acordó, de conformidad con el art. 10.1 n) LOTC, a propuesta de la Sala Segunda,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septiembre de 2015,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la Sentencia de la Sección Segunda de la Sala de lo Social del Tribunal Superior de Justicia de Castilla-La Mancha, de 8 de noviembre de 2012, que estima el recurso de suplicación núm. 1312-2012 interpuesto frente a la Sentencia del Juzgado de lo Social núm. 2 de Ciudad Real, de 22 de marzo de 2012, recaída en autos núm. 63-2012 sobre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denuncia la lesión del derecho a la tutela judicial efectiva en su vertiente de garantía de indemnidad (art. 24.1 CE), causada por el acto extintivo de la relación laboral comunicado el día 29 de noviembre de 2011, solo ocho días después de que se conciliara en el curso de una acción judicial ejercitada por la trabajadora por modificación sustancial de condiciones de trabajo (reducción de jornada y salario). Aspacecire, la empleadora para la que prestaba servicios, descarta que se haya producido la referida vulneración, oponiendo con carácter previo dos causas de inadmisibilidad, al amparo de los arts. 44.1 a) y 44.2 de la Ley Orgánica del Tribunal Constitucional (LOTC). El Ministerio Fiscal, por su parte, interesa el otorgamiento del amparo con base en los argumentos que hemos recogido en los antecedentes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pueden prosperar las objeciones de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pretendida extemporaneidad del amparo por cuanto, en respuesta al requerimiento efectuado por diligencia de ordenación de 8 de febrero de 2013, ha quedado acreditado por la representación de la parte recurrente, en escrito registrado en este Tribunal el día 18 de febrero de 2013, que la notificación de la Sentencia de suplicación tuvo lugar el 15 de noviembre de 2012. Esto así, habiéndose presentado el recurso de amparo en el Servicio común de registro de la localidad el trigésimo día del plazo (3 de enero de 2013), resulta de aplicación la doctrina del Pleno de este Tribunal (STC 88/2013, de 11 de abril, FJ 3), según la cual, en cuanto al lugar de presentación de la demanda de amparo (art. 85.2 LOTC), puede utilizarse de manera indistinta “tanto el registro del Tribunal Constitucional como la oficina o servicio de registro central de los Tribunales civiles de cualquier localidad durante la integridad del plazo completo previsto legalmente para la presentación de dichos escritos de iniciación”.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Igual suerte desestimatoria debe correr la alegada falta de agotamiento de la vía judicial previa por no haberse formalizado recurso de casación para la unificación de doctrina contra la Sentencia ahora impugnada [arts. 50.1 a) y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exigibilidad de la interposición del recurso de casación para la unificación de doctrina, como requisito de agotamiento, ha sido examinada reiteradamente por este Tribunal. Según declara nuestra doctrina, la especial naturaleza de dicho recurso, condicionado legalmente a la concurrencia de rígidos requisitos de admisión sobre identidad y contradicción, determina que su interposición no resulte siempre preceptiva, siendo únicamente obligada, a los efectos de la subsidiariedad del amparo, cuando no quepa duda alguna sobre su procedencia (entre tantas otras, STC 29/2013, de 11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de acuerdo con la misma jurisprudencia, a quien pretende hacer valer su no interposición como motivo de inadmisibilidad del amparo le corresponde acreditar la posibilidad de recurrir a esa extraordinaria vía en el supuesto concreto (por todas, SSTC 221/2012, de 26 de noviembre, FJ 4). Y en el presente caso no se cumple la carga señalada ya que tal obligación acreditativa no se satisface con la invocación retórica de las Sentencias que la recurrente supuestamente adujo en alguno de sus escritos procesales (en esta ocasión, según se afirma, en el escrito de impugnación del recurso de suplicación). No sólo ya porque, tras la lectura de dicho escrito, no alcanzamos a conocer a qué sentencias supuestamente invocadas por la actora viene a referirse quien formula la objeción, sino, en todo caso y antes de ello, porque tampoco se ensaya examen alguno, ni cuando menos aproximativo, de las identidades y contradicción que el Tribunal Supremo reclama invariablemente para acceder a dicho recurso extraordinario, como correspondería efectuar a Aspacecire al oponer la objeción en este procedimiento de amparo (STC 124/2014, de 21 de julio, FJ 2). En suma, no se aporta ningún dato o elemento de juicio del que deducir la viabilidad de la casación unificadora, por lo que el óbice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Invocada por la demandante de amparo la vulneración de su derecho fundamental a la tutela judicial efectiva (art. 24.1 CE), conviene recordar la doctrina de este Tribunal sobre la denominada “garantía de indemnidad” en el marco de las relaciones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reiterado en numerosas ocasiones, la vulneración del derecho a la tutela judicial efectiva no sólo se produce por irregularidades acaecidas dentro del proceso judicial que ocasionen privación de garantías procesales, sino que, asimismo, tal derecho puede verse también lesionado cuando su ejercicio, o la realización por el trabajador de actos preparatorios o previos necesarios para una acción judicial, produzca como consecuencia una represalia empresarial o, en todo caso, un efecto negativo en su posición y patrimonio de derechos. En suma, el derecho consagrado en el art. 24.1 CE no sólo se satisface mediante la actuación de los Jueces y Tribunales, sino también a través de la garantía de indemnidad, lo cual significa que del ejercicio de una acción judicial —individual o colectiva (STC 16/2006, de 19 de enero)— o de los actos preparatorios o previos al mismo —incluso de reclamaciones extrajudiciales dirigidas a evitar el proceso (STC 55/2004, de 19 de abril)— no pueden seguirse consecuencias perjudiciales en el ámbito de las relaciones públicas o privadas para la persona que los protagoniza (por todas, SSTC 14/1993, de 18 de enero, FJ 2; 125/2008, de 20 de octubre, FJ 3, o 6/2011, de 14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en el campo de las relaciones laborales la garantía de indemnidad se traduce en la imposibilidad de adoptar medidas intencionales de represalia derivadas del ejercicio por el trabajador de la tutela de sus derechos (por ejemplo, SSTC 14/1993, de 18 de enero, FJ 2, y 3/2006, de 16 de enero, FJ 2), de suerte que una actuación empresarial que cause un perjuicio y esté motivada por el hecho de haber ejercitado una acción judicial tendente al reconocimiento de unos derechos de los que el trabajador se creía asistido (en el sentido amplio anteriormente indicado) debe ser calificada como radicalmente nula, por contraria a ese derecho fundamental, ya que entre los derechos laborales básicos de todo trabajador se encuentra el de ejercitar las acciones derivadas de su contrato de trabajo [art. 24.1 CE y art. 4.2 g) de la Ley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las concreciones de lesión descritas no siempre puede apreciarse abiertamente la vinculación entre la medida empresarial cuestionada y la garantía de indemnidad que integra el art. 24.1 CE, articulándose comúnmente la dinámica procesal con base en el esquema de la prueba indiciaria. Desde la STC 38/1981, de 23 de noviembre, hemos ido perfilando el marco de efectividad de la tutela constitucional, los márgenes y límites de nuestra función jurisdiccional y los criterios aplicables en el control que realizamos de las vulneraciones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lo primero, cabe destacar que la distribución de cargas probatorias propia de la prueba indiciaria alcanza a supuestos en los que esté potencialmente comprometido cualquier derecho fundamental; también por tanto la garantía de indemnidad del art. 24.1 CE (entre otras, STC 125/2008, de 20 de octubre). En lo segundo, de su lado, este Tribunal Constitucional no realiza un examen de los actos empresariales eventualmente lesivos desde una perspectiva de legalidad que no le es propia, sino en atención a la cobertura que los derechos fundamentales invocados ofrecen. Y lo hace, por lo demás, sin alterar los hechos probados, conforme a la sujeción prescrita en el art. 44.1 b) LOTC, lo que no impide, según establecimos, entre otras, en las SSTC 224/1999, de 13 de diciembre; 136/2001, de 18 de junio, o 17/2003, de 30 de enero, alcanzar una interpretación propia del relato fáctico conforme a los derechos y valores constitucionales en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canon de control constitucional que corresponde, tenemos dicho que la prueba indiciaria se articula en un doble plano. El primero consiste en el deber de aportación de un indicio razonable de que el acto empresarial lesiona el derecho fundamental, principio de prueba o prueba verosímil dirigido a poner de manifiesto lo que se denuncia y que, como es obvio, incumbe al trabajador denunciante. El indicio no consiste en la mera alegación de la vulneración constitucional, ni tampoco en la invocación retórica del factor protegido, sino que debe permitir deducir la posibilidad de la lesión con base en un hecho o conjunto de hechos aportados y probados en el proceso. Sólo una vez cumplido este primer e inexcusable deber, recaerá sobre la parte demandada la carga de probar que su actuación tuvo causas reales absolutamente extrañas a la pretendida vulneración. En otro caso, la ausencia de prueba empresarial trasciende el ámbito puramente procesal y determina, en última instancia, que los indicios aportados por el demandante desplieguen toda su operatividad para declarar la lesión del derecho fundamental concernido (por todas, STC 104/2014, de 23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virtualidad de esa doctrina relativa a la prueba indiciaria en supuestos en los que la decisión empresarial invoca un fundamento objetivo de carácter económico, y no, como a menudo acontece, un incumplimiento contractual por parte del trabajador, nos hizo apreciar en la fase de admisibilidad la concurrencia del requisito de la especial trascendencia constitucional de este recurso de amparo [art. 50.1 b) LOTC], dado que el asunto que enjuiciamos permite aclarar nuestra jurisprudencia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 la carga probatoria del empresario, una vez aportado por el trabajador demandante un panorama indiciario, este Tribunal ha sentado una serie de criterios coincidentes en casos de muy diversa naturaleza, disciplinaria o de otro carácter (por todas, SSTC 140/2014, de 11 de septiembre; 30/2002, de 11 de febrero, o 98/2003, de 2 de junio). Es menester sintetizarlos en los siguientes términos: i) no neutraliza el panorama indiciario la genérica invocación de facultades legales o convencionales; ii) no es suficiente tampoco una genérica explicación de la empresa, que debe acreditar ad casum que su acto aparece desconectado del derecho fundamental alegado; iii) lo verdaderamente relevante es que el demandado lleve a la convicción del juzgador que las causas que aduce para sustentar la decisión adoptada quedan desligadas y son por completo ajenas al factor protegido; iv) una vez acreditada la desconexión entre la medida empresarial y el derecho que se dice vulnerado será ya irrelevante la calificación jurídica que la causa laboral alegada merezca en un prisma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razón existe para sustraer tal esquema de garantías en supuestos como el analizado. Esto es, ante un indicio de lesión, la carga de la prueba del empresario debe estar dirigida a demostrar que su decisión de naturaleza económica (en el presente caso con efectos extintivos) no queda ni intencional ni objetivamente asociada al factor protegido, se haya articulado o no correctamente en términos de legalidad ordinaria y con independencia por tanto de su calificación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Llevado lo expuesto al caso, solo podría llegarse a la conclusión de la Sentencia recurrida sobre la inexistencia de nulidad del acto extintivo: i) si no se hubieran aportado indicios de la vulneración aducida; ii) si, de concurrir éstos, Aspacecire hubiera despojado con su alegato de todo fundamento al nexo o conexión indiciaria probada por la trabajadora (constituidos señaladamente, según las propias resoluciones judiciales dictadas en el proceso, por la correlación temporal entre extinción contractual y acción judicial de modificación sustancial de condiciones de trabajo); iii) particularmente, como concreción de lo dicho en la letra anterior y frente al factor de conexión temporal aducido, si Aspacecire hubiera aportado una justificación causal que desvinculara efectivamente su acto extintivo de la previa acción judicial, ya que en ello reside la conexión con la garantía de indemnidad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anterior doctrina y en los términos reseñados, nos corresponde examinar, en primer lugar, si la parte actora acreditó efectivamente la existencia de indicios de que el acto extintivo podía estar fundado en el previo ejercicio de acciones judiciales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primer plano de control deberá recordarse que tienen aptitud indiciaria tanto los hechos que sean claramente indicativos de la probabilidad de la lesión del derecho sustantivo, como aquellos que, pese a no generar una conexión tan patente y resultar por tanto más fácilmente neutralizables, sean sin embargo de entidad suficiente para abrir razonablemente la hipótesis de la vulneración del derecho fundamental (por ejemplo, STC 31/2014, de 24 de febrero, FJ 3). En el bien entendido que, más allá de la dispar fuerza probatoria concebible en un panorama indiciario conformado por un hecho o conjunto de hechos, lo que no cabe en ningún caso es que quede sostenida la prueba en alegaciones meramente retóricas o que falte la acreditación de elementos cardinales para que la conexión misma entre los hechos aducidos y el factor protegido pudiera establecerse, haciendo verosímil la inferencia lesiva.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conforme a esa lógica, será preciso poner indiciariamente en conexión el factor protegido (la interdicción de medidas empresariales que causen un perjuicio y estén asociadas intencional u objetivamente al previo ejercicio de acciones judiciales: garantía de indemnidad) y el resultado de perjuicio que concretaría la lesión (esta vez, la extinción contractual), por cuanto el hecho de que se hayan ejercitado acciones previas representa únicamente, en principio, un presupuesto de la posibilidad misma de la violación del art. 24.1 CE, pero no un indicio de vulneración de ese derecho que por sí solo desplace al demandado la obligación de probar la regularidad constitucional de su acto (en esa línea, SSTC 17/2003, de 30 de enero, FJ 4, y 151/2004, de 20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conexión necesaria pudiera apreciarse inicialmente por las razones que seguidamente se enuncian. Hay que subrayar de partida, como señalan las resoluciones judiciales en los hechos probados, que la intención inicial de la empresa era reducir la jornada de trabajo de la recurrente en amparo por razones económicas, lo que dio lugar al ejercicio de una acción en octubre de 2011. Esos hechos, expresivos de una contienda jurídica sobre intereses laborales, concurrieron de inmediato con la extinción contractual controvertida, que fue consecutiva en el tiempo, resultando de ese dato la conexión indiciaria entre los hechos previos (reducción de jornada por motivos económicos y acción judicial frente a ella) y la resolución sucesiva de la relación laboral, más cuando en ésta se invocó idéntica causa económica —no otra cosa se alegó por la demandada en el proceso y todo lo acontecido tuvo lugar en unos pocos días en el curso de los meses de octubre y noviembre de 2011—. Tal factor temporal ha sido considerado como un dato relevante en numerosas Sentencias de este Tribunal (v. gr., SSTC 125/2008, de 20 de octubre, FJ 4, o 140/2014, de 11 de septiembre, FJ 8). A mayor abundamiento, como relatamos en los antecedentes, la propia carta de 29 de noviembre de 2011, que comunicaba la extinción del contrato, hacía referencia a ese proceso judicial previo y a la resistencia de la parte actora a la medida empresarial, que le condujo a la impugnación judicial, representando la alusión indicada un elemento adicional de caracterización indiciaria.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conexión indiciaria, como más atrás se señalase y de acuerdo con una jurisprudencia constitucional reiterada y constante, impone a la empresa la carga probatoria de desvincular su acto del indicio de lesión aportado, sin que el panorama indiciario conduzca por tanto, indefectiblemente, a la declaración de la vulneración constitucional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cabe empezar recordando lo reseñado por la empresa en la comunicación de la resolución contractual. Como dijimos en los antecedentes de esta Sentencia, Aspacecire hacía constar en la carta extintiva su grave situación económica tras la drástica reducción de sus fuentes de financiación y las pérdidas acumuladas, así como la necesidad de recortar en gastos de personal para asegurar el mantenimiento de los servicios asistenciales que constituyen su fin. Indicaba adicionalmente que, ante las circunstancias reseñadas, acordó en 2011 reducir los costes salariales, habiéndose resistido la recurrente en amparo en todo momento a aceptar dicha propuesta, oponiéndose a la reducción de jornada y proporcional de salario (de siete a dos horas diarias) al punto de impugnar la decisión adoptada por la empleadora en octubre de 2011, e insistiendo después en dicha posición, tras la conciliación en dicho procedimiento, cuando se le propuso una solución de menor impacto (reducción de la jornada a cuatro horas) —propuesta esta cuya realización, según consta en las actuaciones, fue reconocida por la trabajadora en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los anteriores presupuestos ha de tenerse en cuenta que, en orden a cumplir con su carga probatoria dirigida a demostrar que la decisión de extinción contractual resultaba ajena a todo propósito lesivo del derecho fundamental a la tutela judicial efectiva, Aspacecire aduce la existencia de la causa legal extintiva del art. 52 c) de la Ley del estatuto de los trabajadores. En concreto, a tal efecto alega la situación económica negativa descrita en la referida carta de despido, que efectivamente se consideró acreditada en sede judicial, tanto en la instancia como después en suplicación, dando lugar a que la Sala de lo Social del Tribunal Superior de Justicia de Castilla-La Mancha declarara el carácter procedente de la extinción del contrato por apreciar la concurrencia de la causa económica legalmente exigida para justificar la decisión extintiva.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une en este caso el hecho ya expuesto de que, con posterioridad a la interposición de la demanda por modificación sustancial de condiciones de trabajo y tras haberse celebrado la conciliación, la empresa procedió, con carácter previo a la extinción, a ofrecer a la trabajadora una nueva propuesta de reducción de jornada de menor impacto que la primera. Esta circunstancia resulta indicativa de que la voluntad empresarial no fue la de represaliar o sancionar a la trabajadora por el ejercicio del derecho a la tutela judicial efectiva, pues, tras la acción judicial, la reacción inmediata de Aspacecire fue la de proponer la adopción de una medida de flexibilidad interna de menor alcance incluso que la anterior, a la que la trabajadora mostró su negativa, siendo sólo después cuando, ante la existencia de la causa económica indicada, la empresa acudió a la extinción contractual entre las posibles medidas de gestión empresarial contempladas en el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consideraciones permiten concluir que el limitado panorama indiciario aportado por la trabajadora ha quedado desvirtuado. En este caso, Aspacecire ha logrado acreditar que, conforme exige nuestra jurisprudencia (por todas, STC 125/2008, de 20 de octubre, FFJJ 3 a 6), la extinción contractual comunicada resulta ajena a todo móvil de represalia por el ejercicio del derecho a la tutela judicial efectiva, respondiendo la causa alegada a la causa real, que cuenta con entidad suficiente para, por sí misma, explicar objetiva, razonable y proporcionadamente la decisión empresarial cuestionada. No cabe apreciar, por ello, vulneración de la garantía de indemnidad ex art. 24.1 CE, y en consecuencia, procede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Noelia Márquez Guerrero.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amparo avocado núm. 155-2013, al que se adhieren la Magistrada doña Adela Asua Batarrita y los Magistrados don Juan Antonio Xiol Ríos y don Antonio Narváez Rodríguez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manifesté durante la deliberación del presente proceso constitucional, disiento de la decisión mayoritariamente adoptada. Dentro del máximo respeto hacia el parecer de mis compañeros del Pleno, entiendo que el fallo debió de declarar la vulneración del art. 24.1 CE, en su vertiente de garantía de indemnidad.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Mi discrepancia en esta ocasión no es propiamente doctrinal. Realizaré una consideración previa sobre ese particular, pues resulta obligado dejar constancia de la continuidad de la doctrina de la tutela constitucional en la materia elaborada por este Tribunal. Sintetizando nuestra jurisprudencia sobre la prueba indiciaria en el proceso laboral, señaladamente en lo que corresponde a la parte demandada en el proceso, la Sentencia de la mayoría, en su fundamento jurídico 5, razona así: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virtualidad de esa doctrina relativa a la prueba indiciaria en supuestos en los que la decisión empresarial invoca un fundamento objetivo de carácter económico, y no, como a menudo acontece, un incumplimiento contractual por parte del trabajador, nos hizo apreciar en la fase de admisibilidad la concurrencia del requisito de la especial trascendencia constitucional de este recurso de amparo [art.50.1 b) LOTC], dado que el asunto que enjuiciamos permite aclarar nuestra jurisprudencia en la materia.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que atañe a la carga probatoria del empresario, una vez aportado por el trabajador demandante un panorama indiciario, este Tribunal ha sentado una serie de criterios coincidentes en casos de muy diversa naturaleza, disciplinaria o de otro carácter (por todas, SSTC 140/2014, de 11 de septiembre, 30/2002, de 11 de febrero, o 98/2003, de 2 de junio). Es menester sintetizarlos en los siguientes términos: i) no neutraliza el panorama indiciario la genérica invocación de facultades legales o convencionales; ii) no es suficiente tampoco una genérica explicación de la empresa, que debe acreditar ad casum que su acto aparece desconectado del derecho fundamental alegado; iii) lo verdaderamente relevante es que el demandado lleve a la convicción del juzgador que las causas que aduce para sustentar la decisión adoptada quedan desligadas y son por completo ajenas al factor protegido; iv) una vez acreditada la desconexión entre la medida empresarial y el derecho que se dice vulnerado será ya irrelevante la calificación jurídica que la causa laboral alegada merezca en un prisma de legalidad ordinaria.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Ninguna razón existe para sustraer tal esquema de garantías en supuestos como el analizado. Esto es, ante un indicio de lesión, la carga de la prueba del empresario debe estar dirigida a demostrar que su decisión de naturaleza económica (en el presente caso con efectos extintivos) no queda ni intencional ni objetivamente asociada al factor protegido, se haya articulado o no correctamente en términos de legalidad ordinaria y con independencia por tanto de su calificación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el fundamento jurídico 6, traduciendo lo anterior en cuanto afecta al caso concreto, señala: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“Llevado lo expuesto al caso, solo podría llegarse a la conclusión de la Sentencia recurrida sobre la inexistencia de nulidad del acto extintivo: i) si no se hubieran aportado indicios de la vulneración aducida; ii) si, de concurrir éstos, ASPACECIRE hubiera despojado con su alegato de todo fundamento al nexo o conexión indiciaria probada por la trabajadora (constituidos señaladamente, según las propias resoluciones judiciales dictadas en el proceso, por la correlación temporal entre extinción contractual y acción judicial de modificación sustancial de condiciones de trabajo); iii) particularmente, como concreción de lo dicho en la letra anterior y frente al factor de conexión temporal aducido, si ASPACECIRE hubiera aportado una justificación causal que desvinculara efectivamente su acto extintivo de la previa acción judicial, ya que en ello reside la conexión con la garantía de indemnidad del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desprende de la transcripción anterior que también en las extinciones con fundamento económico la regla de distribución de cargas probatorias opera con su esquema típico. Nuestra jurisprudencia sobre la prueba indiciaria en el proceso laboral exige al empleador -para que sea rechazada la lesión denunciada por el trabajador- la neutralización del panorama indiciario aportado. La Sentencia aprobada despeja toda duda sobre ese particular: la protección propia de la jurisprudencia sobre prueba indiciaria no varía en función de cuál sea el acto empresarial concernido. Se aplica, sea cual fuere éste, siempre que haya indicios de vulneración de un derecho fundamental. Por tanto, al igual que en decisiones no extintivas —causales o no— o en extinciones no causales o en despidos disciplinarios, al empresario tampoco le bastará acreditar la causa legal que aduce para neutralizar la prueba indiciaria aportada por la parte demandante en supuestos de resolución contractual fundada en causas económicas o, en general, en una causa de carácter objetivo.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Expresándolo en otros términos, la carga de la prueba empresarial reside en probar la desconexión del acto con el panorama indiciario, resultado que no depende de la causalidad legal y su calificación jurídica ad casum sino, antes bien, de la desconexión causal entre el acto empresarial y el factor constitucionalmente protegido. Lo afirma de manera cristalina el fundamento jurídico 5: “lo verdaderamente relevante es que el demandado lleve a la convicción del juzgador que las causas que aduce para sustentar la decisión adoptada quedan desligadas y son por completo ajenas al factor protegido”, descartando toda duda cuando concluye que “será ya irrelevante la calificación jurídica que la causa laboral alegada merezca en un prisma de legalidad ordinaria”, o al añadir más tarde “se haya articulado o no correctamente en términos de legalidad ordinaria y con independencia por tanto de su calificación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en el juicio constitucional el examen de la acreditación causal del acto extintivo no es lo relevante; lo es el análisis de la desconexión causal entre ese acto y el derecho fundamental aducido. O expresado en otros términos, la concurrencia de la causa legal sólo excluirá la lesión si su acreditación efectivamente verifica, a la vista de las circunstancias del caso, que no está comprometido el derecho fundamental. Y no siempre será de ese modo, aunque concurra y haya sido probada la causa legal invocada. Lo demás queda en el plano de la legalidad ordinaria, ajeno a este Tribunal y al derecho fundamental de que se trate en cada supuesto de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Establecer una excepción en casos de extinciones por causas económicas, como la aquí enjuiciada, aceptando que la acreditación del motivo extintivo aducido (causa legal) excluye automáticamente la hipótesis de la lesión indiciariamente probada, quebraría notoriamente aquella doctrina y aquel esquema de distribución de cargas probatorias. Me parece destacable que, tras los intensos debates en el Pleno, la mayoría no ha acogido esa tesis y, en cambio, ha mantenido una doctrina —la de la prueba indiciaria en el proceso laboral— de marcada naturaleza tuitiva, tan necesaria en escenarios en los que hacer aflorar la lesión subyacente, cuando concurre, es una realidad de prueba extremadamente compleja (STC 171/2003, de 29 de septiembre,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desde ese prisma doctrinal, no ofrece novedades y es tal ausencia de innovación la que merece distinguirse.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Mi discrepancia, entonces, se contrae a la solución del caso. La Sentencia aprobada trae a colación para resolver sobre la pretendida lesión subjetiva lo reseñado por la empresa en la comunicación de la extinción contractual. Se hacía constar en la carta entregada a la trabajadora la grave situación económica tras la drástica reducción de sus fuentes de financiación y las pérdidas acumuladas, así como la necesidad de recortar en gastos de personal para asegurar el mantenimiento de los servicios asistenciales que constituyen su fin. Y se indicaba adicionalmente que, ante las circunstancias reseñadas, acordó en 2011 reducir los costes salariales, poniendo de manifiesto a renglón seguido la resistencia de la recurrente en amparo a aceptar su propuesta, oponiéndose a la reducción de jornada y proporcional de salario (de siete a dos horas diarias) al punto de impugnar la decisión adoptada por la empleadora en octubre de 2011, e insistiendo después en dicha posición, tras la conciliación en dicho procedimiento, cuando se le propuso una solución de menor impacto (reducción de la jornada a cuatro horas).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juicio de la mayoría, esa causa económica invariablemente alegada por la empresa (tanto en el momento modificativo como en el resolutorio del contrato) se tradujo en un acto extintivo sólo porque no se logró alcanzar con la trabajadora un acuerdo que concertara una medida menos gravosa, ni antes ni después de la conciliación judicial, ni con una reducción mayor ni menor de la jornada y el salario. En opinión del Pleno, se revelaría, pues, que la causa legal acreditada y habilitante de la extinción no se empleó como reacción frente al previo ejercicio de acciones sino, antes bien, porque no fue posible llegar a una solución menos perjudicial para la trabajadora y eficaz al mismo tiempo para paliar la crisis económica que la empresa sufría, de modo coincidente con la línea de actuación seguida con el resto de la plantilla. Así pues, desde el estricto juicio constitucional que nos compete, la Sentencia de la que discrepo concluye que la empresa logró probar que su acto estaba desvinculado del ejercicio previo de acciones judiciales, y con ello de la garantía de indemnidad (art. 24.1 CE), quedando exclusivamente motivado por la necesidad de garantizar la viabilidad económica de la actividad y fines de la organización.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criterio, esa lógica de enjuiciamiento omite el discurrir de los acontecimientos; en concreto: soslaya la falta de justificación solvente del cambio de criterio de la empleadora en un periodo tan breve de tiempo. Justificación solvente del cambio de criterio —valga recordarlo según lo más atrás señalado— equivale aquí a acreditar que el acto extintivo se presenta “desvinculado por completo del previo ejercicio de acciones”, pues a la conexión causal de lo uno (el acto empresarial) y lo otro (el factor constitucionalmente protegido —el ejercicio de acciones—) es a lo que pone freno la garantía de indemnidad del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pese a que la causa legal extintiva concurre (según declarara la Sala de lo Social del Tribunal Superior de Justicia de Castilla-La Mancha y aceptara incluso el juzgador a quo en su Sentencia estimatoria de la pretensión actora), la empresa no ha logrado acreditar una desconexión causal entre la resolución del contrato y el previo ejercicio de acciones por parte de la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demostración principal de esa falla es la quiebra argumental en su alegato, que no consigue armonizar con coherencia la secuencia de hechos probados. En efecto, Aspacecire revocó la decisión inicial de reducción de jornada de trabajo con ocasión —incluso antes— de la conciliación alcanzada en el primer pleito y, sólo ocho días después, acordó una resolución contractual en la que invocaba la misma situación económica negativa; causa que, al parecer, y en un plazo tan limitado de tiempo, ya no solo hacía necesaria para asegurar la viabilidad de la empresa una reducción de la jornada laboral —que podría haberse articulado en forma a través del cauce del art. 41 LET— sino ahora, repentinamente y precisamente después del ejercicio de acciones, de forma más gravosa, la definitiva extinción del contrato de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Carece pues de toda fundamentación razonable apreciar la desconexión causal entre el acto extintivo y el factor constitucionalmente protegido, como hace la Sentencia. No hay prueba aportada, ni siquiera alegato empresarial, que permita concebir tal desenlace, señaladamente cuando la propia carta extintiva no contenía ninguna referencia a causas objetivas sobrevenidas o previamente no atendidas que habilitasen la extinción. En otras palabras, no se razona ni se prueba contra el panorama indiciario; esto es, no se justifica causalmente (tampoco en términos de coherencia fáctica) que muy poco tiempo antes de la extinción del contrato se ordenase a la trabajadora una reducción de jornada y que una vez producido el desistimiento de la acción ejercitada por modificación sustancial de condiciones de trabajo se estimase que la situación económica no permitía a Aspacecire mantener los servicios de la empleada (ni siete ni cuatro ni dos horas por jornada, canalizándolo en su caso a través de la regulación del art. 41 LET). Todo lo razonado, acontece, en suma, en un caso en el que la empleadora no aporta ningún elemento novedoso en los dos momentos sucesivos (modificativo y extintivo), no concurriendo ningún factor que muestre una agravación de la situación de crisis previa o una razón distinta que dote de fundamento a su cambio de criterio.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analizada la cuestión con esta perspectiva, es evidente que los hechos apuntados en la demanda de amparo, que cuentan con suficiente respaldo en el relato fáctico de las Sentencias dictadas en el proceso judicial, resultan suficientes para considerar verificada la vinculación entre la acción judicial previa ejercida por la trabajadora frente a la empresa para la que prestaba servicios y la sucesiva extinción de su contrato de trabajo, en particular si se tienen en cuenta la conexión temporal existente entre la demanda judicial y el acto extintivo (SSTC 125/2008, de 20 de octubre, FJ 4, o 140/2014, de 11 de septiembre, FJ 8) y la ausencia de cualquier otro elemento ajeno al conflicto sobre las condiciones de trabajo que pudiera explicar la decisión resolutoria que no se estimaba imprescindible pocos días 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a la luz del art. 24.1 CE, debería haberse otorgado el amparo interesado.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diez de septiembre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