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2240-2013, interpuesto por el Gobierno de Canarias contra los arts. 27 y 28 del Real Decreto-ley 20/2012, de 13 de julio, de medidas para garantizar la estabilidad presupuestaria y de fomento de la competitividad.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abril de 2013, el Gobierno de Canarias, representado por la Letrada de su servicio jurídico, promueve recurso de inconstitucionalidad contra los arts. 27 y 28 del Real Decreto-ley 20/2012, de 13 de julio, de medidas para garantizar la estabilidad presupuestaria y de fomento de la competitividad.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preceptos impugnados vulneran el art. 86.1 CE, por no concurrir la extraordinaria y urgente necesidad que exige este precepto (STC 68/2007, de 27 de marzo). Los razonamientos ofrecidos en la parte expositiva del Real Decreto-ley 20/2012 no alcanzan a todas las medidas que conforman su contenido, no apreciándose concretamente respecto de las normas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se refiere a la recesión económica que vive el país desde 2008. La existencia de un período recesivo que dura ya un lustro no justifica en sí misma la adopción de medidas urgentes para paliar la recesión, cinco años después de que se advirtiera la situación a cuya urgencia se vincula el uso del decreto-ley. El hecho de que se necesiten resultados urgentes, o soluciones perentorias, no legitima la toma de decisiones por esta vía, haciendo modificaciones profundas que, además, repercuten sobre las competencias exclusivas de las Comunidades Autónomas. Las reformas estructurales, así denominadas en la exposición de motivos, distan mucho de la urgencia requerida en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una parte de las medidas estructurales tiene carácter temporal o son aplicables sólo cuando concurran circunstancias excepcionales, quedando supeditada su vigencia a la subsistencia de la difícil coyuntura económica o a razones de interés público, lo que es altamente revelador de la vocación de permanencia de las reformas a las que se otorga una vigencia indeterminada, lo que mal puede sostenerse de la aprobación de una norma en la que debe concurrir la urgencia. A mayor abundamiento, se reconoce en la exposición de motivos que se trata de medidas que se deben adoptar de forma conjunta para ofrecer un cambio estructural, lo cual deshace cualquier posible réplica sobre la necesidad de adoptar medidas basadas en la coyuntura actual, término antitético al utilizado en numerosas ocasiones en una verdadera confesión del espíritu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los arts. 27 y 28 objeto de impugnación, se regulan aspectos que han sido objeto de fuerte debate y que han conformado las competencias exclusivas de la Comunidad Autónoma de Canarias [art. 30.1 y 2 del Estatuto de Autonomía de Canarias (EACan)], amparándose en un ánimo liberalizador, alterando los umbrales sobre los horarios comerciales de los domingos y festivos, cambiando los criterios sobre las zonas de gran afluencia turística, y liberalizando totalmente el período de rebajas, lo que parece que ninguna idea nueva o urgente aporta. Así puede comprobarse en las exposiciones de motivos de las leyes aprobadas como consecuencia de la Directiva 123/2006/CE, del Parlamento Europeo y del Consejo, de 12 de diciembre de 2006, relativa a los servicios en el mercado interior, que parecen ser una repetición o antesala del Real Decreto-ley 20/2012, por lo que la urgencia debe quedar descartada.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27 y 28 del Real Decreto-ley 20/2012 lesionan el régimen de distribución de competencias. Las citadas normas incurren en una extralimitación de la competencia atribuida al Estado por el art. 149.1.13 CE, que vulnera los títulos competenciales autonómicos recogidos en los arts. 31.3 (comercio interior, defensa del consumidor y del usuario, sin perjuicio de la política general de precios y de la legislación sobre defensa de la competencia) y 30.21 (turismo), ambos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(SSTC 225/1993, de 8 de julio, 264/1993, de 22 de julio, 284/1993, de 30 de septiembre, y 254/2004, de 23 de diciembre), la submateria de “horarios comerciales”, comprendida en el título competencial sobre comercio interior, queda enmarcada en la política económica general, ex art. 149.1.13 CE, en cuanto a la fijación de unas pautas básicas de la regulación de los horarios comerciales, por su indudable trascendencia en la tensión tradicional entre el comercio minorista y las grandes superficies comerciales. Ahora bien, el Real Decreto-ley 20/2012 excede de las bases y regula determinados aspectos de competencia exclusiva autonómica, suponiendo una extralimitación al vaciar de contenido determinadas competencias normativas autonómicas, suprimiéndolas, limitándolas o degradándolas prácticamente a competencias ejecutivas, y limitando incluso las competencias de este orden. La norma estatal elimina totalmente las competencias autonómicas para limitar el horario de los domingos o festivos de apertura autorizada, para incrementar o reducir la superficie de venta de los establecimientos de reducida dimensión, para definir las zonas de gran afluencia turística, y para determinar los periodos a los que se circunscribe la aplicación de la libertad de apertura en dichas zonas. Las competencias autonómicas en materia de zonas de gran afluencia turística se degradan, aproximándose las que se conservan al tipo de las competencias ejecutivas. Se limitan las competencias para restringir el horario global (conjunto de los días laborables de la semana) y para reducir el número de domingos y festivos de apertura autorizada. Y se pierde la competencia para fijar las temporadas de rebajas y su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estatal ex art. 149.1.13 CE no puede ser entendida “de forma tal que vacíe toda competencia comunitaria (autonómica) dotada de una cierta dimensión económica” (STC 125/1984, de 20 de diciembre, FJ 1, y otras muchas posteriores). Al dictar las bases, el Estado debe respetar el espacio necesario para que las Comunidades Autónomas puedan ejercer sus propias competencias. La competencia autonómica de desarrollo legislativo no consiste en la simple posibilidad de completar o pormenorizar lo establecido en la legislación estatal, sino en la de aprobar normas que sean consecuentes con los programas u opciones políticas que, en cada momento, sostengan sus instituciones, “ya que la potestad normativa de las Comunidades Autónomas no es en estos supuestos de carácter reglamentario” (STC 32/1981, de 28 de julio, FJ 4). La regulación hecha en el Real Decreto-ley que se impugna es tan casuística y específica, que prácticamente no deja margen a que la Comunidad Autónoma pueda ejercer sus competencias, incurriendo en un abuso del título competencial invocado por el Estado, art. 149.1.13 CE, que merece un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primer apartado del art. 27 versa sobre los horarios de apertura y cierre de los establecimientos y el número de horas diarias o semanales en que ejercerán su actividad. Se mantiene el reconocimiento de la facultad de las Comunidades Autónomas para fijar la duración del horario del conjunto de los días laborables de la semana (facultad de “restringir” el horario global, en palabras del art. 3 1), que no es sino una especificidad de otra más amplia, asimismo reconocida a las Comunidades Autónomas por el art. 2 de la Ley 1/2004, de 21 de diciembre, de horarios comerciales la de regulación de los horarios para la apertura y cierre de los locales comerciales. No obstante, se limita la facultad autonómica de restricción horaria, al disponer que las Comunidades Autónomas no pueden fijar en un número de horas inferior a 90 (en lugar de las 72 que figuraban en el texto originario de la Ley 1/2004) el horario global máximo (art. 3.1), lo cual no hace sino desvirtuar la competencia autonómica, hasta eliminarla, ya que al elevar tanto el umbral, pasándose de 72 a 90 horas, puede afirmarse que casi no deja a la Comunidad Autónoma margen para el ejercicio de la competencia sobre la restricción horaria. Con estos límites, (aumentándose de 72 a 90, es decir más de un 25 por 100) difícilmente puede tener cabida el ejercicio de la competencia de comercio interior, tal y como venía ejerciéndose hasta 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garantiza a los comerciantes libertad —no susceptible de limitación por las Comunidades Autónomas— para determinar “libremente el horario correspondiente a cada domingo o festivo en que ejerza(n) su actividad”, libertad que hay que entender referida, no sólo a la determinación del momento de la apertura y del cierre, sino también a la del número de horas de actividad de cada domingo o festivo de apertura autorizada. Por lo tanto, se suprime la facultad autonómica de “limitar” el horario de los domingos o festivos, respetando un mínimo de 12 horas diarias.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apartado del art. 27, en materia de domingos y festivos de apertura autorizada, se fija un límite de dieciséis (en lugar de los doce que figuraban en el texto modificado) domingos y festivos en que los comercios podrán permanecer abiertos al público durante el año (art. 4.1), y se reconoce a las Comunidades Autónomas la facultad de modificar dicho máximo, incrementándolo o reduciéndolo en los términos siguientes: puede incrementarse en principio sin límites pero no pueden reducirlo por debajo de diez (en lugar de ocho, que figuraban en el texto modificado: art. 4.2), lo que incide nuevamente sobre la facultad autonómica de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mantiene la facultad, ya reconocida por la Ley 1/2004 a las Comunidades Autónomas, de determinar o individualizar los concretos domingos y festivos en que se puede abrir los comercios (art. 4.5), atendiendo de forma prioritaria al atractivo comercial de los días para los consumidores, pero se introduce la sujeción a determinados criterios, que observados en detalle, suponen un desbordamiento claro de lo básico. Se introducen cuatro requisitos que han de presidir la actuación a la hora de determinar en qué festivos debe autorizarse la apertura, cuya introducción suscita la consideración de que, si bien se mantiene la facultad autonómica, es tan extensa y compleja la regulación que difícilmente queda un resquicio para que la Comunidad Autónoma decida lo que es más conveniente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otro exceso en la regulación por parte del Estado, ya que se opera un claro y doble efecto limitativo de las competencias autonómicas: un efecto directo sobre la competencia para determinar propiamente o individualizar los domingos y festivos de apertura autorizada, y otro sobre la competencia para fijar su número anual, porque los criterios son tantos y de tal naturaleza que, para cumplir con ellos, la Comunidad Autónoma puede verse forzada, por razón del calendario anual, a fijar un número de domingos y festivos de apertura autorizada superior a diez. Por lo tanto, se trata nuevamente de un exceso que estrangula la competencia autonómica. También se aprecia un defecto en el artículo ahora impugnado, ya que no se especifica ni siquiera si se trata de criterios acumulativos, alternativos, escalonados por el orden en que aparecen formulados o escalonados conforme a otro orden jerárquico. Su aplicación acumulativa casi haría desaparecer la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resaltar las dificultades que comportaría el ejercicio de las competencias de protección y control en la aplicación del criterio sobre “apertura en los domingos y festivos correspondientes a los períodos de rebajas”, ya que los períodos de rebajas y su duración dependerá, a partir de la reforma, únicamente de la voluntad del comerciante. No puede la Comunidad Autónoma atender las competencias que tiene conferidas al respecto, ni puede proteger al consumidor, aun siendo la Administración obligada principalmente a ello, y teniendo una posición más cercana a la realidad que ha de ordenarse, por lo que estamos nuevamente ante una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aspecto que es necesario reseñar es la modificación de la determinación de las zonas de gran afluencia turística que, si bien formalmente sigue correspondiendo a las Comunidades Autónomas, se perfila directamente al disponer que tendrán dicha consideración las áreas en que concurra alguna de las siete circunstancias reseñadas en el nuevo art. 5.4 de la Ley 1/2004, resultando suprimida así la posibilidad de definirlas, que las Comunidades Autónomas venían poniendo en práctica pacíficamente. Este artículo es una verdadera confesión de la insuficiencia en el título y la extralimitación en la que ha incurrido el Estado. Mal puede encajarse la definición de una zona de influencia turística en el establecimiento de las bases y la planificación económica, debiendo subsumirse en la competencia exclusiva de la Comunidad Autónoma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suprime también la facultad que se atribuía a las Comunidades Autónomas de determinar los períodos de tiempo a que se circunscribe la aplicación de la libertad de apertura en las zonas en cuestión y la normativa básica aumenta de densidad, al introducir en el procedimiento para la determinación de zonas de gran afluencia turística un trámite de propuesta de los Ayuntamientos y admitir que tenga la consideración de zona de gran afluencia turística la totalidad del municipio o parte del mismo, además de regular en detalle las circunstancias que determinan la calificación, y establecer la obligatoriedad de determinar al menos una zona en determinados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las regulaciones existentes hasta el momento, que ahora se derogan, no se había invocado el título competencial del art. 149.1.13 CE, sino que, por ejemplo, el art. 28 modifica la Ley 7/1996, de 15 de enero, de ordenación del comercio minorista, que fue dictada con un amparo competencial diverso, modificado tras la doctrina sobre la supletoriedad establecida por la STC 61/1997.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18 de la Ley 7/1996 (apartado 1 del art. 28 del Real Decreto-ley 20/2012) es supletorio en sus tres primeros apartados, que definen el concepto de las actividades de promoción de ventas, de forma que la Comunidad Autónoma está capacitada para regular estas materias por su competencia en comercio interior. Pero carecería de competencias en el nuevo apartado 4, referido a la posibilidad de simultanear las actividades de promoción de ventas en un mismo establecimiento, que se dicta al amparo del art. 149.1.13 CE, con el efecto contradictorio, y de difícil lógica jurídica, de que el régimen sustantivo de las actividades de promoción de ventas sería de competencia autonómica mientras que el accidental estaría reservado a la normativa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28.1 de la Ley 7/1996 (apartado 6 del art. 28 del Real Decreto-ley 20/2012), que define la venta de saldos, se dicta por el Estado en su momento como norma en materia de defensa de la competencia, que en este caso no tiene justificación que se extraiga de la competencia autonómica, de conformidad con la STC 208/1999, de 11 de noviembre. Pero el apartado 2 de ese artículo, el que efectúa la parte negativa de la definición, es supletorio y el apartado 3, que era supletorio, se suprime por razones de la planificación económica, lo que obviamente es inviable en términos jurídicos, porque si el Estado no es competente para establecer medidas supletorias tampoco lo es para suprimirlas.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31.1 de la Ley 7/1996 (apartado 7 del art. 28 del Real Decreto-ley 20/2012) era también supletorio cuando establecía la duración máxima de la venta en liquidación en tres meses, y la extendía a un año en caso de cesación total de la actividad. Se ha convertido en medida de planificación económica cuando suprime el plazo de tres meses y deja toda la venta en liquidación remitida al plazo de un año. Está claro que no hay razones de política económica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31.2, que se amparaba en razones de defensa de la competencia, poco justificable con los límites fijados por la STC 208/1999, eleva su cobertura a planificación económica para modular los efectos de la prohibición de ejercer el comercio a quienes hayan efectuado un proceso de venta en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competencia del Estado sobre bases y coordinación de la planificación general de la actividad económica ha sido delimitada por la jurisprudencia constitucional, de la que se extraen las siguientes consideraciones: no basta que una medida estatal tenga algún efecto sobre la economía o sobre el sistema productivo para entender que se trate de una medida de naturaleza económica, ya que casi todas lo tienen; por bases hay que entender las decisiones que resultan verdaderamente fundamentales para llevar a cabo la política económica nacional; no deben predeterminar ni agotar absolutamente las posibilidades autonómicas de actuación (STC 192/1990, de 29 de noviembre); una decisión se considera básica cuando es de “carácter genérico, directivo y finalista” (STC 332/2005, de 15 de diciembre), lo que es obvio que no ocurre en el presente caso; cabe reconocer carácter básico incluso a medidas singulares, de naturaleza ejecutiva, cuando inciden en el desarrollo de la economía, en los objetivos de la política económica del Gobierno o en la consecución de los fines propuestos dentro de la ordenación de un determinado sector (STC 332/2005); la coordinación tiene por finalidad evitar duplicidades o disfuncionalidades innecesarias, y presupone la existencia de competencias autonómicas que no deben ser vaciadas de contenido, puede hacerse preventivamente o a posteriori, y exige que se fijen mecanismos suficientes de información recíproca en un clima de colaboración que permita una acción conjunta en la línea de lealtad o fidelidad a la Constitución (STC 45/1991, de 28 de febrero); el hecho de que se aluda a la planificación “general” no implica que el Estado deba actuar sobre el conjunto de la economía, sino que puede referirse a un sector económico concreto (STC 332/2005).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norma impugnada se degradan las competencias autonómicas normativas, que quedan casi como competencias ejecutivas, a ejercer mediante una suerte de “elementos normativos desgajados”, que constituyen una categoría próxima a la del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coherencia y de los actos propios conlleva que deba seguirse el marco competencial de las materias que ahora se regulan, y que con anterioridad tuvieron calificación jurídica distinta en el marco de las competencias, lo que ha de respetarse.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2013, el Pleno, a propuesta de la Sección Segunda,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14 de mayo de 2013, el Abogado del Estado se personó en el proceso en nombre del Gobierno, solicitando una prórroga de ocho días en el plazo concedido para formular alegaciones, que le fue concedida por providencia de 16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registrados los días 22 y 23 de mayo de 2013, los Presidentes del Senado y del Congreso de los Diputados comunicaron los respectivos acuerdos de las Mesas de ambas Cámaras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14 de junio de 2013,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Decreto-ley 20/2012 no incurre en infracción del art. 86.1 CE, según ha sido interpretado por la doctrina constitucional (SSTC 329/2005, de 15 de diciembre, FJ 5, 332/2005, de 15 de diciembre, FFJJ 5 y ss.; 68/2007, de 28 de marzo, FJ 6; 31/2011, de 17 de marzo, FJ 3; 137/2011, de 14 de septiembre, FJ 4, y 1/2012, de 13 de enero, FJ 6). El Tribunal tiene declarada la especial aptitud de los decretos-leyes para atender coyunturas económicas problemáticas, según las denominó la STC 23/1993, de 21 de enero, FJ 5. Puede afirmarse que el Tribunal ha llegado a identificar la “extraordinaria y urgente necesidad” con situaciones de necesidad relativas, declarando la especial aptitud de los decretos-leyes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137/2003, de 3 de julio, FJ 3, y 189/2005, de 7 de julio, FJ 3). De modo que el presupuesto habilitante viene constituido por una situación de necesidad relativa respecto de una acción del Gobierno que requiera una actuación normativa inmediata de rango legal, que no pueda satisfacerse a través de los procedimientos previstos para la elaboración de la ley. En definitiva, el canon de enjuiciamiento del presupuesto habilitante se ciñe a corregir una eventual valoración abusiva o arbitraria por parte de los poderes políticos de la necesidad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estrictamente formal, los órganos políticos han cumplido con la exigencia de exteriorizar las razones de urgencia que legitiman la utilización de esta figura normativa, pero es que además esos motivos justifican la decisión de acudir al Real Decreto-ley 20/2012. Tal y como se refleja en el preámbulo y en la intervención del Ministro de Hacienda en el debate de convalidación, la norma se adopta en el marco de una crisis económica sin precedentes que exige fuertes ajustes presupuestarios y que supone la adopción de una estrategia político económica sobre dos ejes: la consolidación fiscal y el impulso de nuevas reformas estructurales. Las medidas de ajuste fiscal son imprescindibles para garantizar que España cumple rigurosamente sus compromisos fiscales dentro del marco del déficit excesivo establecido por la Unión Europea. Además, resultan necesarias para recuperar la confianza y el crédito de las Administraciones públicas. Por su parte, las nuevas reformas estructurales son también claves, no sólo para garantizar que nuestro país flexibiliza su estructura productiva y se prepara de modo óptimo para la siguiente fase expansiva del ciclo, sino también para generar crecimiento adicional y compensar parcialmente de esta forma el impacto restrictivo de la política fiscal a corto plazo. La gravedad del contexto de crisis en el que se adopta el Real Decreto-Ley impugnado ha sido corroborada por los informes del Banco de España (2008, 2009, 2010 y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se ha mostrado ajeno a la gravedad de la crisis económica que atraviesa la zona euro, habiéndose hecho eco de la profunda crisis presupuestaria en los AATC 95/2011, de 21 junio, FJ 5; 96/2011, de 21 de junio, FJ 5; 160/2011, de 22 de noviembre, FJ 3, y 147/2012, de 16 de julio, FJ 6, referidos todos ellos a las necesarias medidas de consolidación del gasto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conexión de las medidas adoptadas en los arts. 27 y 28 con la situación de extraordinaria y urgente necesidad alegada se desprende del apartado VI del preámbulo, fue mencionada en el debate de convalidación y aparece extensamente justificada en la memoria del análisis del impacto normativo del Real Decreto-Ley 20/2012, de la que se reproduce un amplio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memoria del proyecto justifica sobradamente la concurrencia del presupuesto habilitante. En una situación de crisis como la actual que nos ha llevado a cifras de paro hasta ahora desconocidas, en la que España ha entrado en una segunda recesión en poco tiempo debida a un hundimiento del consumo interno y, por tanto, de uno de los componentes de la demanda agregada, es clara la urgencia de implementar medidas que esperan producir “un incremento del PIB de un 1,63 por 100 para el conjunto de la economía nacional, (aprox. 17.187 millones de euros)” y “337.581 nuevos puestos de trabajo en el total de la economía”. Se podrá decir que son simples previsiones, pero todas lo son en materia económica. Difícilmente puede exigirse a los órganos políticos hacer un mayor esfuerzo justificativo de la urgencia, salvo que se “reduzca a la nada el Decreto-ley, que es un instrumento normativo previsto por la Constitución, ‘del que es posible hacer uso para dar respuesta a las perspectivas cambiantes de la vida actual’” (por todas, STC 111/1983, de 2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27 del Real Decreto-ley 20/2012 tiene materialmente carácter básico. La doctrina del Tribunal referida al régimen de horarios comerciales [SSTC 225/1993, de 8 de julio, FJ 4; 264/1993, de 22 de julio, FJ 3 c); 284/1993, de 30 de septiembre, FJ 4; 88/2010, de 15 de noviembre, FJ 5; 140/2011, de 14 de septiembre, FFJJ 2 a 4, y 26/2012, de 1 de marzo, FFJJ 6 a 8] ha examinado normativas estatales que establecían muy diversos grados de liberalización y, por tanto, permitían un correlativo mayor o menor espacio de desarrollo autonómico. El Tribunal ha reiterado que cuando la normativa estatal básica desregule, por liberalizar, un sector, resulta lógico que no permita normativa autonómica de desarrollo, salvo que ésta se limitase a reproducir la liberalización ya efectuada desde la norma básica. Además, una norma básica que afecte sólo a una submateria de un título competencial autonómico más amplio, nunca puede producir un vaciamiento, por sí sola, de la competencia, dado que ésta siempre tendría un ámbito material más extenso sobre el que podría seguir desplegándose, y que no quedaría afectado por el ejercicio por el Estado de la competencia sobre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modificación del art. 4 de la Ley 1/2004, el precepto impugnado únicamente pretende establecer un régimen mínimo de libertad de horarios, dentro del cual el legislador autonómico podrá optar por grados superiores de liberalización. Para la determinación de los domingos y festivos de apertura, el legislador básico se limita a concretar los criterios mínimos dentro de los cuales las Comunidades Autónomas deberán decidir los días concretos de apertura, otorgando un amplio margen de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novedad introducida en el art. 5 de la Ley 1/2004 consiste en precisar los criterios mínimos que deben seguir las Comunidades Autónomas para determinar las zonas de gran afluencia turística. Son susceptibles de ser ampliados por las Comunidades Autónomas, y permiten un grado de apreciación autonómico para su adaptación a las circunstancias de cada región.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pues imputarse vaciamiento competencial a una normativa desreguladora, que sólo incide parcialmente en un subsector de un título competencial autonómico más amplio. Pero es que, además, las bases impugnadas no son ni mucho menos agotadoras, permitiendo que, dentro de ellas, las Comunidades Autónomas puedan optar por establecer grados superiores de libertad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28 del Real Decreto-ley 20/2012 ha modificado los arts. 18.4, 20, 25, 26.1, 27, 28 y 31 de la Ley 7/1996, con la finalidad de desregular el régimen de ventas promocionales.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desarrolla suficientemente el motivo de impugnación material de este precepto, por lo que resulta difícil comprender las razones de su censura constitucional. La mayor parte de su argumentación está destinada a subrayar que el Real Decreto-ley 20/2012 ha modificado el título competencial al amparo del que se dictan los preceptos impugnados, lo cual, además de no ser completamente cierto, ha quedado justificado por la finalidad que persigue la norma, que se fundamenta específicamente en el art. 149.1.13 CE en el contexto de las circunstancias económicas por las que atraviesa España. El análisis del contenido material de las modificaciones, dirigidas a liberalizar todo tipo de ventas promocionales (rebajas, saldos, liquidaciones o cualquier otra destinada a incrementar las ventas), muestra su incidencia directa, inmediata y significativa en la actividad económica, como factor dinamizador de la actividad comercial. En el contexto actual de falta de disponibilidad crediticia, no se puede desconocer el hecho de que las rebajas suponen una disponibilidad de liquidez para el empresario, que convierte su stock en caja. Esta posibilidad de drenaje de recursos líquidos a la economía se ve perjudicada por la rigidez de los períodos de rebajas tal y como estaban configurados, porque aunque la campaña de rebajas constituye un estímulo en la cifra de ventas para los establecimientos comerciales, tiene el efecto perverso de suponer a la vez, un desincentivo a la compra durante el resto del tiempo en que no se 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se han pronunciado los estudios efectuados por las principales asociaciones de empresarios y de consumidores y usuarios, la Comisión Nacional de la Competencia (informe sobre la reforma de la Ley del comercio minorista, 2009), y la Comisión Europea (informe “Hacia un mercado interior del comercio y de la distribución más justo y eficaz en la perspectiva de 2020”, 2010), que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las medidas de desregulación de las ventas promocionales tienen amparo en el art. 149.1.13 CE, en términos similares a los expuestos al razonar la constitucionalidad de las medidas adoptadas en relación con los horarios comerciales. Se trata de adoptar medidas que dinamicen en toda España el comercio, y que exigen una uniformidad en todo el territorio. Las medidas adoptadas no eliminan la capacidad de regulación de las Comunidades Autónomas, si bien es cierto que sitúan como protagonista de las decisiones al propio comerciante.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marzo de 2016 se señaló para deliberación y votación del presente recurso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ha impugnado los arts. 27 y 28 del Real Decreto-ley 20/2012, de 13 de julio, de medidas para garantizar la estabilidad presupuestaria y de fomento de la competitividad (en lo sucesivo, Real Decreto-ley 20/2012). Entiende la recurrente que esta normativa se ha dictado con vulneración del art. 86.1 CE, al faltar el presupuesto habilitante de su extraordinaria y urgente necesidad, y del orden constitucional de distribución de competencias, por cuanto la regulación estatal objeto de esta controversia no encontraría amparo en el art. 149.1.13 CE e invade las competencias autonómicas en las materias de comercio interior y defensa de los consumidores y usuarios [art. 31.3 del Estatuto de Autonomía de Canarias (EACan)] y de turismo (art. 30.21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detalladas en los antecedentes, insta la desestimación del recurso al entender que el Real Decreto-ley 20/2012 no ha incurrido en ninguna de las tachas de inconstitucionalidad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controversia, son necesarias algunas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18/2016, de 4 de febrero, ha declarado la inconstitucionalidad y nulidad de los arts. 28.4 y 28.5 del Real Decreto-ley 20/2012 en cuanto que dan nueva redacción a los arts. 26.1 y 27.2 de la Ley 7/1996, de 15 de enero, de ordenación del comercio minorista. Esta previa decisión determina la pérdida de objeto del presente recurso de inconstitucionalidad en cuanto a los dos apartados que han quedado ya expulsados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línea apuntada por el Abogado del Estado, cabe apreciar la total ausencia de argumentación de la demanda en lo que concierne al apartado 5 del art. 27 y a los apartados 2 y 3 del art. 28 del Real Decreto-ley 20/2012, incumpliendo la carga de colaborar con la justicia de este Tribunal (por todas, STC 104/2015, de 28 de mayo, FJ 11). Ello conduce derechamente a la desestimación de la impugnación de estos apartados, sin que proceda entrar en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Todos los reproches de inconstitucionalidad dirigidos por este recurso al Real Decreto-ley 20/2012 han sido previamente abordados por las SSTC 156/2015, de 9 de julio, y 18/2016, de 4 de febrero. Por ello en esta resolución, que se dicta en aplicación de la doctrina allí sentada, damos por reproducida su argumentación y nos limitaremos a sintetizar lo allí decidido.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tacha relativa a la falta del presupuesto habilitante de la extraordinaria y urgente necesidad exigida por el art. 86.1 CE, en lo que concierne específicamente a los arts. 27 y 28 que son objeto de impugnación en este proceso constitucional, fue desestimada por la STC 156/2015, FJ 6 [a la que se remite la STC 18/2016, FJ 5 c)]. Se consideró que tanto en la exposición de motivos de la norma cuestionada como en el debate parlamentario de convalidación, es posible apreciar que se ha explicitado la existencia de una situación de extraordinaria y urgente necesidad por referencia a la concreta coyuntura económica y a la necesidad de propiciar el crecimiento de la productividad y la competencia, y lo mismo sucede con el requisito de la conexión de sentido entre la situación de urgencia apreciada por el Gobierno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27 del Real Decreto-ley 20/2012 modifica diversos preceptos de la Ley 1/2004, de 21 de diciembre, de horarios comerciales. En la STC 156/2015, FJ 7, determinamos que debe considerarse como formal y materialmente básica la regulación de los horarios comerciales contenida en los arts. 4.5, 5.4 y 5.5 de la Ley estatal 1/2004, objeto de modificación por los apartados 2 y 3 del impugnado art. 27. La posterior STC 18/2016 ha llevado a cabo el examen competencial de su íntegro contenido, desestimando su inconstitucionalidad, como se resume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27.1 modifica el art. 3.1 de la Ley 1/2004, y establece que el horario global en el que los comercios pueden desarrollar su actividad en días laborables no puede ser restringido por las Comunidades Autónomas a menos de 90 horas. La STC 18/2016 se ha pronunciado afirmando que el Estado, en el ejercicio de sus competencias ex art. 149.1.13 CE, ha decidido que, para la consecución de los objetivos básicos que persigue, resulta preciso establecer un régimen de más amplia liberalización de horarios, lo que no resulta contrario al orden constitucional de distribución de competencias [FJ 9 a)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queja planteada respecto al art. 27.1 conlleva la del art. 27.4, que modifica la disposición adicional primera de la Ley 1/2004. Esta norma establece simplemente una consecuencia para el caso de falta de ejercicio de las competencias autonómicas en materia de comercio en el subsector de los horarios comerciales, de modo que no impone una libertad horaria, sino que permite que las Comunidades Autónomas opten por ella en el caso de que decidan no utilizar las posibilidades de regulación que derivan de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régimen de domingos y festivos de apertura que deriva del art. 27.2, que da nueva redacción al art. 4 de la Ley 1/2004, la STC 18/2016, FJ 9 b), ha excluido que incurra en vulneración competencial, al considerar que la opción legislativa estatal supone el establecimiento de normas básicas en lo relativo a la intervención administrativa en la fijación de los horarios comerciales cuya concreción requiere de la actuación autonómica, para, respetando el mínimo estatal, fijar el número y determinación concreta de los festivos de apertura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27.3 modifica el art. 5 de la Ley 1/2004, para regular los establecimientos con régimen especial de horarios y fijar criterios para la determinación de las zonas de gran afluencia turística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156/2015, FJ 10 y 18/2016, FJ 9 c), hemos considerado que se trata de reglas que cumplen, dado su carácter de condiciones mínimas y comunes, los parámetros constitucionales para su consideración material de norma básica, en tanto que la misma encierra una serie de objetivos de política económica aplicables a un sector de gran trascendencia en nuestra economía como es el de la distribución comercial, sin que las normas sean tan exhaustivas o minuciosas que agoten la regulación de la materia, sino que establecen un minimum sobre el que la Comunidad Autónoma puede establecer una normativa adicional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28 del Real Decreto-ley modifica parcialmente la Ley 7/1996, de 15 de enero, de ordenación del comercio minorista.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alegación relativa a la trascendencia que tengan los cambios en la calificación competencial de las normas impugnadas, procede remitirse a la doble consideración de la STC 18/2016, FJ 10: (i) el legislador estatal es libre para determinar el título competencial en el que funda sus decisiones, siendo lo único relevante a la hora de determinar la constitucionalidad o no de la normativa controvertida que responda a un legítimo ejercicio de las competencias estatales; y (ii) corresponde en todo caso a este Tribunal identificar finalmente el título competencial concreto que ofrezca —cuando proceda— cobertura a los preceptos impugnados, sin que en dicha tarea se encuentre vinculado por “las incardinaciones competenciales contenidas en las normas sometidas a su enjuiciamiento” (STC 144/1985, de 25 de abril, FJ 1), ni tampoco “por el encuadramiento competencial que realicen las partes en el proceso” (por todas, STC 74/2014,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28.1 añade un apartado 4 al artículo 18 de la Ley 7/1996, a fin de permitir que en un mismo comercio puedan simultanearse las actividades de promoción de ventas, excepto la venta por liquidación, teniendo la consideración de actividades de promoción de ventas las ventas en rebajas, las ventas en oferta o promoción, las ventas de saldos, las ventas en liquidación, las ventas con obsequio y las ofertas de venta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la STC 18/2016, FJ 10, se trata de una regulación que afecta sobre todo a la relación horizontal entre las empresas en una economía de libre mercado y no a la situación del consumidor como destinatario de los productos, por lo que su aprobación corresponde al ente territorial competente para legislar en el ámbito de la defensa de la competencia, esto es, el Estado en virtud del art. 149.1.13 CE (en un sentido similar, STC 26/2012,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28.6 da nueva redacción al art. 28 de la Ley 7/1996, relativo a la definición de la venta de saldos, suprimiendo su apartado 3, que establecía que “tampoco cabe calificar como venta de saldos aquella en que los productos no pertenecieran al comerciante seis meses antes de la fecha de comienzo de este tipo de actividad comercial, excepción hecha de los establecimientos dedicados específicamente al referido sistema de 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STC 18/2016, FJ 10, la conformidad competencial del art. 28.6 viene dada por la doctrina de la STC 124/2003, de 19 de junio, FJ 5, en la que ya declaramos que el art. 28.1 de la Ley 7/1996 “tiene encaje en las competencias estatales en la medida en que delimita el ámbito de la excepción que el art. 14.1 de la propia Ley establece a la prohibición general de las ventas a pérdida. En efecto, el citado precepto -no invocado como inconstitucional- contempla la venta de saldos como supuesto exceptuado de la genérica prohibición de la venta con pérdidas establecida en virtud del título estatal sobre defensa de la competencia; en tales circunstancias, no resulta exorbitante entender que el mismo título habilita al Estado para establecer los límites definitorios de la excepción que la propia norma consagra”. Esa misma consideración es aplicable aquí en la medida en que el subsistente art. 28.2 cumple esa función de definición de la excepción, sin que con ello se establezca una completa regulación sustantiva de derecho público acerca de la venta de saldos.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28.7 modifica el art. 31, estableciendo, en el apartado 1, que la duración máxima de la venta en liquidación debe ser de un año y, en el apartado 2, que “no procederá efectuar una nueva liquidación en el mismo establecimiento de productos similares a la anterior en el curso de los tres años siguientes, excepto cuando esta última tenga lugar en ejecución de decisión judicial o administrativa, por cesación total de la actividad o por causa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18/2016, FJ 10, este precepto también es conforme con el orden constitucional de delimitación de competencias. En cuanto a la determinación de la duración de la venta en liquidación, es aplicable aquí la doctrina constitucional según la cual las normas que establecen un marco temporal imperativo para el desarrollo de modalidades específicas de venta deben considerarse integradas en las normas que velan por la defensa de la competencia y su aprobación corresponde al Estado ex artículo 149.1.13 CE. Y con respecto a la prohibición de efectuar una nueva liquidación de productos similares en los tres años siguientes, ya la STC 88/1986, de 1 de julio, consideró que un precepto similar excedía de las competencias autonómicas porque suponía impedir el ejercicio de una actividad comercial durante un periodo, lo cual equivalía a “una interdicción del ejercicio del comercio con su contenido propio ... de clara competencia estatal, a tenor del artículo 149.1.6 CE” [FJ 8 f)].</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28.4 y 28.5 del Real Decreto-ley 20/2012, de 13 de julio, de medidas para garantizar la estabilidad presupuestaria y de fomento de la competitividad, en cuanto que dan nueva redacción a los arts. 26.1 y 27.2 de la Ley 7/1996, de 15 de enero, de ordenación del comercio minorista.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2240-2013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