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dictado por el Juzgado de Primera Instancia núm. 5 de Cartagena el 20 de julio de 2015, en el procedimiento de ejecución hipotecaria núm. 113-2012; con suspensión igualmente del acto de subasta previsto para el próximo día 15 de abril de 2016 y las demás actuaciones relativas a dicha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octubre de 2015 tuvo entrada en el Registro General de este Tribunal Constitucional, un escrito de la Procuradora de los Tribunales doña Ana Llorens Pardo, actuando en nombre y representación del matrimonio formado por doña Elaine Patricia Waite y don Alan Waite, por el que se interpuso demanda de amparo contra el Auto dictado por el Juzgado de Primera Instancia núm. 5 de Cartagena el 20 de julio de 2015, desestimatorio de la solicitud de nulidad del procedimiento de ejecución hipotecaria de bien inmueble núm. 113-2012, seguida contra los recurrentes por la entidad Caixabank, S.A., por impago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en concordancia con lo defendido previamente en el escrito de nulidad de actuaciones, alega la vulneración del art. 24.1 CE en su vertiente de derecho a no padecer indefensión, por cuanto los recurrentes no fueron notificados personalmente del proceso ejecutivo seguido en su contra sino por edictos, al haber resultado infructuoso el intento de emplazamiento en el domicilio designado en la escritura de constitución de la hipoteca, que era el de la propia vivienda ejecutada (sita en la localidad de Los Belones, Murcia), ateniéndose el Juzgado a lo dispuesto literalmente en el art. 686.3 de la Ley de enjuiciamiento civil (LEC). Los recurrentes consideran no justificada en este caso la notificación por la vía excepcional de los edictos, teniendo en cuenta que no se trataba de su vivienda habitual y que en la propia escritura se hacía constar su domicilio real, situado en el condado de Kent (Inglaterra), en el Reino Unido, por lo que el Juzgado debió proveer a su notificación en este último conforme se deriva del art. 156 LEC, así como por la doctrina constitucional que exige al órgano judicial el agotamiento de las gestiones que permitan dicho emplazamiento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 suplico de la demanda, por el que pidieron se otorgara el amparo con nulidad de las actuaciones y retroacción de las mismas al momento inmediatamente posterior al del dictado del Auto despachando ejecución, los recurrentes solicitaron por medio de otrosí digo la “suspensión de la subasta señalada para el día 15 de abril de 2016”, aportando diligencia de ordenación de la Secretaría del Juzgado, de 23 de septiembre de 2015 que así lo fija.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a su pretensión suspensiva, la demanda alega: “A juicio de esta parte, la no suspensión de la subasta podría hacer perder la finalidad al presente recurso puesto que culminaría el procedimiento judicial en el que mis representados han sido privados del derecho fundamental a la tutela judicial efectiva. Asimismo, entiende esta parte que la suspensión de la toma de posesión no ocasiona perturbación grave de un interés constitucionalmente protegido ni afecta a los derechos y libertades de otra persona. En cuanto a los posibles daños que el retraso en la celebración de la subasta, en el caso de que el procedimiento de ejecución hipotecaria terminara finalmente con la celebración de la misma, se verían compensados con los procedentes intereses en su caso correspondientes al tiempo transcurrido en la resolución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Secretaría de la Sección Cuarta, Sala Segunda, de este Tribunal Constitucional, dictó diligencia de ordenación de 20 de octubre de 2015 por la que se acordó requerir al representante procesal de los recurrentes para que acreditare fehacientemente la fecha de notificación de la resolución recurrida en amparo, lo que fue cumplimentado por escrito de dicho Procurador presentado el 3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nueva diligencia de ordenación de la Secretaría de Justicia de la Sección Cuarta de este Tribunal, de 4 de noviembre de 2015, se acordó dirigir atenta comunicación al Juzgado de Primera Instancia núm. 5 de Cartagena, a fin de que a la mayor brevedad posible se remitiera a la Sala Segunda de este Tribunal, certificación o fotocopia adverada de las actuaciones correspondientes al procedimiento de ejecución hipotecaria núm. 113-2012. El Letrado de la Administración de Justicia del Juzgado de referencia, remitió el testimonio solicitado mediante oficio de 12 de enero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 de marzo de 2016, la Sección Cuarta de este Tribunal dictó providencia por la que admitió a trámite el presente recurso de amparo, “apreciando que concurre en el mismo una especial trascendencia constitucional (art. 50.1 LOTC) como consecuencia de que el órgano judicial pudiera haber incurrido en una negativa manifiesta del deber de acatamiento de la doctrina de este Tribunal [STC 155/2009, FJ 2, f)]”. En consecuencia, y dado que ya se disponía de las actuaciones del procedimiento a quo, se acordó en la misma providencia dirigir atenta comunicación al Juzgado de Primera Instancia al único objeto de que, con arreglo a lo dispuesto en el art. 51 de la Ley Orgánica del Tribunal Constitucional (LOTC), procediera al emplazamiento de quienes hubieran sido parte en la causa, excepto a los recurrentes en amparo, para poder comparecer si lo desearan en este recurso, en el plazo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la Sección Cuarta de este Tribunal dictó providencia acordando formar la pieza para la tramitación del incidente sobre la suspensión solicitada y conceder, conforme determina el art. 56 LOTC, un plazo común de tres días a los recurrentes y al Ministerio Fiscal para alegar lo que consideren procedente dentro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cumplimiento a este trámite, la representación procesal de la parte actora en amparo presentó escrito de alegaciones el 9 de marzo de 2016, reiterándose en su petición y en los argumentos vertidos en la demanda para fundarla. Cita en su apoyo el ATC 56/2013, de 25 de febrero, precisando que si bien en ese supuesto se trataba de la vivienda habitual del recurrente y aquí no lo es, ello no obsta a la aplicación del criterio favorable a la suspensión puesto que, si el bien referido se subasta, “pasará con toda probabilidad a ser propiedad de un tercero que, muy probablemente, podrá ser considerado tercero hipotecario de buena fe, deviniendo su situación inatacable desde el punto de vista del derecho de propiedad”. Más adelante insiste en que esa posibilidad de adquisición por tercero de buena fe, “vaciaría de sentido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este Tribunal Constitucional presentó su escrito de alegaciones el 10 de marzo de 2016, interesando acceder a la suspensión solicitada. Tras hacer cita de doctrina general de este Tribunal acerca de la posibilidad de acordar la suspensión de los efectos de resoluciones judiciales impugnadas en amparo, señala que la “aplicación al caso de la doctrina reseñada nos debe llevar a considerar que nos encontramos en uso de esos supuestos en que tratándose de un[a] resolución de carácter patrimonial, no obstante puede acabar afectando a derechos futuros de terceros adquirentes de buena fe, por lo que de acuerdo con la doctrina de este Tribunal, sería procedente la suspensión para evitar actuaciones cuya reversibilidad deviniera poco menos que imposible (Vid. ATC 74/2013)”.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declarado este Tribunal en su ATC 198/2014, de 21 de julio, FJ 1, citado a su vez por el más reciente ATC 95/2015, de 25 de mayo, FJ 1, que “como regla general, el apartado 1 del art. 56 de la Ley Orgánica del Tribunal Constitucional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su vez, respecto de la suspensión de resoluciones judiciales con contenido patrimonial, recordaba el indicado ATC 95/2015, FJ 2, que según criterio reiterado del Tribunal las mismas: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En efecto, en relación con resoluciones judiciales cuya ejecución conlleva el desalojo de una vivienda o local, hemos declarado en diversas ocasiones, AATC 225/2000, de 2 de octubre, FJ 2; 187/2001, de 2 de julio, FFJJ 2 y 3; 210/2001, de 16 de julio, FJ 3; o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como acontece en el presente caso, por lo cual resulta procedente el mantenimiento de la medida cautelar de suspensión del lanzamiento de la demandante de amparo de la vivienda que ocupa... [ATC 18/2012, de 30 de enero, FJ 3; en el mismo sentido, AATC 81/2012; de 7 de mayo, FJ 2; 103/2012, de 21 de mayo, FJ 1; 287/2013, de 16 de diciembre, FJ 1; 175/2014, de 23 de junio, FJ 1, y 59/2015,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que reconoce la irreversibilidad del daño que comportaría la posible transmisión a un tercero de buena fe del bien inmueble, no exige necesariamente —aunque esta sin duda constituya una circunstancia de refuerzo en apoyo a la suspensión— que se trate del domicilio de la parte ejecutada, siendo suficiente con que la resolución impugnada se haya dictado en un procedimiento de ejecución dirigido a la realización forzosa de la vivienda o local de su propiedad, en cuanto presupuesto para que se ocasione aquel daño y, con ello, se otorgue la suspensión [entre otros, AATC 64/2009, de 23 de febrero, antecedente 2 d) y FJ 3; 287/2013, de 16 de diciembre, antecedente 2 y FJ 2; 282/2014, de 17 de noviembre, antecedente 2 y FJ 4; y 48/2016, de 29 de febrero, antecedente 1 y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presente caso permite acceder a lo solicitado. Se trata de un proceso ejecutivo hipotecario en el que se pretende la venta en subasta de la vivienda de los recurrentes, estando previsto dicho acto para el día 15 de este mes de abril, con la posibilidad de que el bien pueda ser transmitido en el futuro a un tercero y opere el principio de fe pública registral (art. 34 de la Ley hipotecaria), lo que lo haría irreivindicable, haciendo perder a este amparo su finalidad. No apreciándose tampoco que la medida de suspensión ocasione, como ya se señaló, “perturbación grave a un interés constitucionalmente protegido, ni a los derechos fundamentales o libertades de otra persona", debe acordarse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dictado por el Juzgado de Primera Instancia núm. 5 de Cartagena el 20 de julio de 2015, en el procedimiento de ejecución hipotecaria núm. 113-2012; con suspensión igualmente del acto de subasta previsto para el próximo día 15 de abril de 2016 y las demás actuaciones relativas a dicha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