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69</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abril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5956-2015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5956-2015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del Auto dictado por el Juzgado de Primera Instancia núm. 5 de Cartagena el 10 de septiembre de 2015, en el procedimiento de ejecución hipotecaria núm. 114-2012; con suspensión igualmente del acto de toma de posesión del bien inmueble ejecutado, previsto para el próximo día 28 de junio de 2016, y las demás actuaciones relativas a dicha ejecución.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26 de octubre de 2015 tuvo entrada en el Registro General de este Tribunal Constitucional, un escrito de la Procuradora de los Tribunales doña Ana Llorens Pardo, actuando en nombre y representación del matrimonio formado por doña Elaine Patricia Waite y don Alan Waite, por el que se interpuso demanda de amparo contra el Auto dictado por el Juzgado de Primera Instancia núm. 5 de Cartagena el 10 de septiembre de 2015, desestimatorio de la solicitud de nulidad del procedimiento de ejecución hipotecaria de bien inmueble núm. 114-2012, seguida contra los recurrentes por la entidad Caixabank, S.A., por impago de crédito.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en concordancia con lo defendido previamente en el escrito de nulidad de actuaciones, alega la vulneración del art. 24.1 CE en su vertiente de derecho a no padecer indefensión, por cuanto los recurrentes no fueron notificados personalmente del proceso ejecutivo seguido en su contra sino por edictos, al haber resultado infructuoso el intento de emplazamiento en el domicilio designado en la escritura de constitución de la hipoteca, que era el de la propia vivienda ejecutada (sita en la localidad de Atamaría, Murcia), ateniéndose el Juzgado a lo dispuesto literalmente en el art. 686.3 de la Ley de enjuiciamiento civil (LEC). Los recurrentes consideran no justificada en este caso la notificación por la vía excepcional de los edictos, teniendo en cuenta que no se trataba de su vivienda habitual y que en la propia escritura se hacía constar su domicilio real, situado en el condado de Kent (Inglaterra), en el Reino Unido, por lo que el Juzgado debió proveer a su notificación en este último conforme se deriva del art. 156 LEC, así como por la doctrina constitucional que exige al órgano judicial el agotamiento de las gestiones que permitan dicho emplazamiento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el suplico de la demanda, por el que pidieron se otorgara el amparo con nulidad de las actuaciones y retroacción de las mismas al momento inmediatamente posterior al del dictado del Auto despachando ejecución, los recurrentes solicitaron por medio de otrosí digo la “suspensión de la toma de posesión aún no realizada ni acordada por el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apoyo a su pretensión suspensiva, la demanda alega: “A juicio de esta parte, la no suspensión de dicho trámite podría hacer perder la finalidad al presente recurso puesto que culminaría el procedimiento judicial en el que mis representados han sido privados del derecho fundamental a la tutela judicial efectiva. Asimismo, entiende esta parte que la suspensión de la toma de posesión no ocasiona perturbación grave de un interés constitucionalmente protegido ni afecta a los derechos y libertades de otra persona. La mercantil Buildingcenter, como es de público conocimiento, constituye la rama inmobiliari[a] del grupo Caixabank, por lo que, no hay propiamente ningún tercero afectado. Únicamente, quedaría en suspenso dicha toma de posesión de la finca por parte de dicha entidad a la que se cedió el remate. Así, en el caso de que se estime el presente recurso y se retrotraigan las actuaciones al momento del dictado del Auto despachando ejecución como se solicita en el presente escrito, la adjudicación podría hacerse a otra persona en el caso de que la subasta no quedara desierta. Además de que, en su caso, de estimarse la oposición de fondo que esta parte pudiere alegar en el procedimiento de ejecución hipotecaria podría verse reducida la cuantía por la que se despachase ejecución … lo que podría beneficiar incluso a la misma entidad Buildingcenter”.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Secretaría de la Sección Cuarta, Sala Segunda, de este Tribunal Constitucional, dictó diligencia de ordenación de 30 de octubre de 2015 por la que acordó dirigir atenta comunicación al Juzgado de Primera Instancia núm. 5 de Cartagena, a fin de que a la mayor brevedad posible se remitiera a la Sala Segunda de este Tribunal, certificación o fotocopia adverada de las actuaciones correspondientes al procedimiento de ejecución hipotecaria núm. 114-2012. Requerimiento que se reiteró por diligencia de constancia del 17 de diciembre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Administración de Justicia del Juzgado de referencia, remitió finalmente el testimonio solicitado mediante oficio de 7 de enero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 de marzo de 2016, la Sección Cuarta de este Tribunal dictó providencia por la que admitió a trámite el presente recurso de amparo, “apreciando que concurre en el mismo una especial trascendencia constitucional (art. 50.1 LOTC) como consecuencia de que el órgano judicial pudiera haber incurrido en una negativa manifiesta del deber de acatamiento de la doctrina de este Tribunal [STC 155/2009, FJ 2, f)]”. En consecuencia, y dado que ya se disponía de las actuaciones del procedimiento a quo, se acordó en la misma providencia dirigir atenta comunicación al Juzgado de Primera Instancia al único objeto de que, con arreglo a lo dispuesto en el art. 51 de la Ley Orgánica del Tribunal Constitucional (LOTC), procediera al emplazamiento de quienes hubieran sido parte en la causa, excepto a los recurrentes en amparo, para poder comparecer si lo desearan en este recurso, en el plazo de diez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la misma fecha, la Sección Cuarta de este Tribunal dictó providencia acordando formar la pieza para la tramitación del incidente sobre la suspensión solicitada y conceder, conforme determina el art. 56 LOTC, un plazo común de tres días a los recurrentes y al Ministerio Fiscal para alegar lo que consideren procedente dentro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cumplimiento a este trámite, la representación procesal de la parte actora en amparo presentó escrito de alegaciones el 9 de marzo de 2016, reiterándose en su petición y en los argumentos vertidos en la demanda para fundarla. Cita en su apoyo el ATC 56/2013, de 25 de febrero, precisando que si bien en ese supuesto se trataba de la vivienda habitual del recurrente y aquí no lo es, ello no obsta a la aplicación del criterio favorable a la suspensión puesto que, “si no se suspende la toma de posesión señalada hasta que se resuelva definitivamente el recurso de amparo en curso, la situación fáctica del inmueble cuando dicha resolución recaiga será imposible de cumplir porque habrá un tercero hipotecario de buena fe que será titular del inmueble privando completamente de sentido y finalidad al recurso que ahora se tramita”.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precisa que el acto de toma de posesión de la vivienda por parte de la entidad adjudicatario está previsto para el día 28 de junio de 2016, según diligencia de ordenación dictada por la Secretaría del Juzgado el 18 de febrero y que adjunta con su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este Tribunal Constitucional presentó su escrito de alegaciones el 10 de marzo de 2016, interesando acceder a la suspensión solicitada. Tras hacer cita de doctrina general de este Tribunal acerca de la posibilidad de acordar la suspensión de los efectos de resoluciones judiciales impugnadas en amparo, señala que la “aplicación al caso de la doctrina reseñada nos debe llevar a considerar que nos encontramos en uso de esos supuestos en que tratándose de un[a] resolución de carácter patrimonial, no obstante puede acabar afectando a derechos futuros de terceros adquirentes de buena fe, por lo que de acuerdo con la doctrina de este Tribunal, sería procedente la suspensión para evitar actuaciones cuya reversibilidad deviniera poco menos que imposible (vid. ATC 74/2013)”.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Ha declarado este Tribunal en su ATC 198/2014, de 21 de julio, FJ 1, citado a su vez por el más reciente ATC 95/2015, de 25 de mayo, FJ 1, que: “como regla general, el apartado 1 del art. 56 de la Ley Orgánica del Tribunal Constitucional (en la redacción dada por la Ley Orgánica 6/2007, de 24 de mayo) determina que ‘la interposición del recurso de amparo no suspenderá los efectos del acto o sentencia impugnados’. Regla que se somete a excepción en el apartado 2 del mismo precepto, permitiendo la medida de suspensión total o parcial de los efectos del acto o sentencia impugnados, cuando uno u otra ‘produzca un perjuicio al recurrente que pudiera hacer perder al amparo su finalidad’, condicionado en todo caso a que ‘la suspensión no ocasione perturbación grave a un interés constitucionalmente protegido, ni a los derechos fundamentales o libertades de otra persona’. Conforme a la aplicación conjunta de ambas disposiciones, este Tribunal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su vez, respecto de la suspensión de resoluciones judiciales con contenido patrimonial, recordaba el indicado ATC 95/2015, FJ 2, que según criterio reiterado del Tribunal las mismas: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573/1985, de 7 de agosto, FJ único; 574/1985, de 7 de agosto, FJ único; o 275/1990, de 2 de julio, FJ 2). Sí hemos accedido a la suspensión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de 2 de julio, FJ único; y 52/1989, de 30 de enero, FJ único) o el lanzamiento de una vivienda o local (AATC 313/2005, de 18 de julio, y 435/2006, de 23 de noviembre). En efecto, en relación con resoluciones judiciales cuya ejecución conlleva el desalojo de una vivienda o local, hemos declarado en diversas ocasiones, AATC 225/2000, de 2 de octubre, FJ 2; 187/2001, de 2 de julio, FFJJ 2 y 3; 210/2001, de 16 de julio, FJ 3; o 111/2003, de 7 de abril, FJ 2) que, salvo supuestos excepcionales, la ejecución de estas resoluciones debe ser suspendida, toda vez que el lanzamiento o privación de la posesión de aquéllos puede ocasionar situaciones irreversibles o daños de muy difícil reparación en el caso de que posteriormente se otorgue el amparo, como acontece en el presente caso, por lo cual resulta procedente el mantenimiento de la medida cautelar de suspensión del lanzamiento de la demandante de amparo de la vivienda que ocupa... [ATC 18/2012, de 30 de enero, FJ 3; en el mismo sentido, AATC 81/2012; de 7 de mayo, FJ 2; 103/2012, de 21 de mayo, FJ 1; 287/2013, de 16 de diciembre, FJ 1; 175/2014, de 23 de junio, FJ 1, y 59/2015, de 16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doctrina que reconoce la irreversibilidad del daño que comportaría la posible transmisión a un tercero de buena fe del bien inmueble, no exige necesariamente —aunque esta sin duda constituya una circunstancia de refuerzo en apoyo a la suspensión— que se trate del domicilio de la parte ejecutada, siendo suficiente con que la resolución impugnada se haya dictado en un procedimiento de ejecución dirigido a la realización forzosa de la vivienda o local de su propiedad, en cuanto presupuesto para que se ocasione aquel daño y, con ello, se otorgue la suspensión [entre otros, AATC 64/2009, de 23 de febrero, antecedente 2 d) y FJ 3; 287/2013, de 16 de diciembre, antecedente 2 y FJ 2; 282/2014, de 17 de noviembre, antecedente 2 y FJ 4; y 48/2016, de 29 de febrero, antecedente 1 y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anterior doctrina al presente caso permite acceder a lo solicitado. Se trata de un proceso ejecutivo hipotecario en el que, de acuerdo con el examen de las actuaciones remitidas por el Juzgado a quo, se constata que se celebró la subasta para la vivienda de los recurrentes el 6 de junio de 2014, quedando la misma desierta, lo que motivó que la representación procesal de la ejecutante Caixabank presentara escrito solicitando la adjudicación de la finca, “con facultad de ceder el remate a terceros”. La cesión se produjo a favor de la entidad Buildingcenter, S.A., aprobándose por la Secretaría del Juzgado mediante Decreto de 10 de julio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margen de los vínculos existentes entre la entidad cedente y la cesionaria a que se refieren los recurrentes, de no acordarse la suspensión del acto de toma de posesión del bien inmueble y la de los demás efectos del proceso ejecutivo, la vivienda podría ser transmitida en cualquier momento futuro a un tercero que quedaría protegido por la fe pública registral (art. 34 de la Ley hipotecaria) y a quien no alcanzaría el pronunciamiento de nulidad de la ejecución si se estimara el amparo, a diferencia de quienes sí han intervenido dentro del procedimiento a quo —incluyendo como cesionaria del remate, a la entidad Buildingcenter—. Por lo que, de producirse tal eventualidad —transmisión futura a un tercero— haría irreivindicable la finca, haciendo perder al presente recurso su finalidad. No apreciándose tampoco que la medida de suspensión ocasione, como ya se señaló, “perturbación grave a un interés constitucionalmente protegido, ni a los derechos fundamentales o libertades de otra persona”, debe acordarse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del Auto dictado por el Juzgado de Primera Instancia núm. 5 de Cartagena el 10 de septiembre de 2015, en el procedimiento de ejecución hipotecaria núm. 114-2012; con suspensión igualmente del acto de toma de posesión del bien inmueble ejecutado, previsto para el próximo día 28 de junio de 2016, y las demás actuaciones relativas a dicha ejecución.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abril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