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1920-2015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1920-2015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Conceder la suspensión de las resoluciones judiciales impugnadas y de la resolución que decreta la expulsión del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6 de abril de 2015, don Luis Enrique Lamadriz Torres, representado por el Procurador de los Tribunales don Luis Fernando Pozas Osset y asistido por el Letrado don Lucas Boloix Torralba, interpuso recurso de amparo contra la Sentencia de la Sección Primera de la Sala de lo Contencioso-Administrativo del Tribunal Superior de Justicia de la Comunidad Valenciana, de 10 de febrero de 2015, dictada en el rollo de apelación núm. 95-2013, que confirmó la dictada por el Juzgado de lo Contencioso-Administrativo núm. 2 de Castellón, de 4 de octubre de 2012, en el procedimiento abreviado núm. 193-2012.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resolución de 2 de febrero de 2012 se decretó la expulsión del territorio nacional del recurrente, con prohibición de entrada durante cinco años, al amparo de lo dispuesto en el art. 57.2 de la Ley Orgánica 4/2000, de 11 de enero, sobre derechos y libertades de los extranjeros en España y su integración social, tras resultar acreditado que había sido condenado en sentencia firme a un año de prisión. Interpuso recurso contencioso-administrativo, dictándose las Sentencias citadas en el encabezamiento.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queja principal del recurrente es la falta de proporcionalidad y motivación de la decisión administrativa, que no tuvo en cuenta su arraigo en España y sus singulares circunstancias personales. Extiende el reproche a las resoluciones judiciales, con invocación del art. 24.1 CE en su vertiente de derecho a la motivación. Mediante otrosí, en la demanda de amparo y conforme al art. 56.2 de la Ley Orgánica del Tribunal Constitucional (LOTC), solicita la suspensión de las resoluciones impugnadas y, consiguientemente, de la expulsión del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admitida a trámite la demanda de amparo, la Sección Cuarta del Tribunal Constitucional, mediante providencia de 9 de mayo de 2016, acordó la apertura de la presente pieza separada de suspensión y, a tenor del art. 56 LOTC, concedió un plazo común de tres días a la parte recurrente y al Ministerio Fiscal para que alegasen lo que estimaran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mediante escrito que tuvo entrada en este Tribunal el 19 de mayo de 2016, reiteró su petición de suspensión con base en los argumentos ya esgrimidos en la demanda de amparo, señaladamente por la frustración de la finalidad perseguida en el recurso caso de rechazarse la solicitud, pues podría determinar la ejecución de la orden de expulsión con los efectos que acarrea para quien, como él, tiene arraigo en España y viene residiendo en nuestro país desde hace muchos años, careciendo en cambio de arraigo en su país de origen en el que fue víctima en su momento de un desastre natural. Ampara su petición en los elementos indicados y en la jurisprudencia constitucional que cita (AATC 82/1999, de 12 de abril, 356/2008, de 10 de noviembre, o 156/2010, de 15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Comparte el mismo criterio el Ministerio Fiscal, según alega en escrito que tuvo entrada en el Tribunal el día 23 de mayo de 2016. A su parecer, con invocación de los mismos Autos a los que alude la parte recurrente, procede la concesión de la suspensión para evitar que la efectividad de las resoluciones judiciales recurridas pueda provocar la salida del territorio nacional del demandante, convirtiendo en ilusoria la eventual reparación sucesiva de la lesión que se aduce.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facultad de este Tribunal Constitucional de adoptar medidas cautelares en los procesos de amparo, reconocida en el art. 56 de la Ley Orgánica del Tribunal Constitucional,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 doctrina que se ha reiterado recientemente, entre tantos otros, por ejemplo, en el ATC 90/2015, de 25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lo cual significa que se ha de apreciar la pérdida de la finalidad del recurso de amparo para que aquélla deba adoptarse. Por ello, la regla general es la improcedencia de la suspensión, salvo en los casos en los que se acredite de forma fehaciente tanto el carácter irreparable del perjuicio para los derechos fundamentales, como la pérdida de la finalidad del amparo en caso de mantenerse la ejecución de la resolución recurrida (por todos, ATC 47/2016, de 29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expulsión de extranjeros del territorio nacional, este Tribunal ha señalado con carácter general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como señalan los dos Autos citados en el fundamento jurídico anterior, entre tantos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en aplicación de lo expuesto, y conforme también solicita el Ministerio Fiscal, resulta procedente acordar la suspensión de la expulsión del territorio nacional del recurrente, atendiendo al conjunto de circunstancias concurrentes, toda vez que tampoco se aprecia que dicha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expuestos, y sin que ello suponga prejuzgar la cuestión de fondo planteada, conducen a conceder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Conceder la suspensión de las resoluciones judiciales impugnadas y de la resolución que decreta la expulsión del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