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junio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medida de expulsión del territorio nacional y prohibición de entrada durante cinco años impuesta al actor en la resolución de la Subdelegación del Gobierno en Barcelona de 8 de noviembre de 2013 y confirmada en la resolución del mismo órgano de 15 de abril de 2014 y en las Sentencias dictadas por la Sala de lo Contencioso-Administrativo (Sección Segunda) del Tribunal Superior de Justicia de Cataluña el 11 de diciembre de 2015 y por el Juzgado de lo Contencioso-Administrativo núm. 8 de Barcelona el 24 de noviembre de 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14 de enero de 2016, la Procuradora de los Tribunales doña Raquel Gracia Moneva, en nombre y representación de don Abdelmajil Bilal, en su calidad de tutor legal de don Z. B., interpuso recurso de amparo contra la Sentencia de la Sala de lo Contencioso-Administrativo (Sección Segunda) del Tribunal Superior de Justicia de Cataluña de 11 de diciembre de 2015, dictada en el recurso de apelación núm. 168-2015, desestimatoria del recurso interpuesto contra la Sentencia del Juzgado de lo Contencioso-Administrativo núm. 8 de Barcelona de 24 de noviembre de 2014, recaída en el procedimiento abreviado núm. 516-2013, desestimatoria del recurso contencioso-administrativo presentado contra la resolución de la Subdelegación del Gobierno en Cataluña, de 15 de abril de 2014, ésta a su vez desestimatoria del recurso de reposición formalizado, en el expediente administrativo núm. 080220130004729 contra la resolución del mismo órgano de 8 de noviembre de 2013, que acordó, en aplicación del art. 57.2 de la Ley Orgánica 4/2000, de 11 de enero, sobre derechos y deberes de los extranjeros en España y su integración social (en adelante, LOEx), la expulsión del actor del territorio nacional, con prohibición de entrada en el mismo por un período de cinco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(persona incapacitada que actúa a través de su representante legal) se queja de una vulneración de su derecho a la tutela judicial efectiva determinante de indefensión (art. 24.1 CE) derivada de la falta de concreción, en las resoluciones administrativas y judiciales impugnadas, de la amenaza que representa para el orden público y la seguridad nacional, determinante de la medida de expulsión y de la ausencia de toda ponderación de las circunstancias personales concurrentes, ya que el actor no sólo es un residente de larga duración sino que, además, es una persona sometida a tutela al haber sido civilmente incapacitado por carecer de las capacidades intelectivas y volitivas necesarias para valerse por sí mismo. Asimismo, denuncia el demandante la lesión del derecho “a una vida digna” y a la “integridad” ambos “en relación [con] la dignidad de la persona (art. 15 en relación [con] los arts. 19 y 49 CE)”, así como del derecho a la intimidad familiar del art. 18 CE, en relación con “la protección social y económica de la familia” (arts. 39 y 49 CE), al no haberse valorado “que se expulsaba a un residente de larga duración incapacitado”, al que la medida impuesta suponía “una situación de auténtica desprotección”.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la representación del actor solicita en su demanda la suspensión de la ejecución de la medida de expulsión, cuya ejecución le produciría perjuicios de difícil reparación que privarían al amparo de efectividad en el caso de una eventual estimación, teniendo en cuenta su situación personal, pues se vería obligado a salir del territorio nacional, lo que supondría, de facto, dejarle en una “auténtica situación de desamparo”, al no poder contar con la protección tutelar establecida en vía civil. Añade la demanda que la medida cautelar que se solicita no genera ningún peligro para el interés general, pues el actor es “un enfermo, que se encuentra bajo supervisión y tutela establecida judicialmente y cuyo delito se remonta hace ya 13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7 de junio de 2016 la Sección Cuarta de la Sala Segunda de este Tribunal acordó admitir a trámite el recurso de amparo y dirigir atenta comunicación al Juzgado de lo Contencioso-Administrativo de Barcelona a fin de que, en el plazo de diez días, emplazara a quienes hubieran sido parte en el proceso del que trae causa el presente recurso de amparo, excepto la parte recurrente, para que pudieran comparecer en el procedimiento en el plazo de diez días. En la misma resolución se acordó formar la oportuna pieza para la tramitación del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7 de junio de 2016, la Sala Segunda incoó la pieza de tramitación del incidente de suspensión y, conforme a lo dispuesto en el art. 56 de la Ley Orgánica del Tribunal Constitucional (LOTC), concedió un plazo común de tres días a la parte recurrente y al Ministerio Fiscal para que alegaran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escrito presentado el 14 de junio de 2016, el actor formuló sus alegaciones, limitándose a reproducir literalmente el otrosí ya incorporado a la demanda relativa a este concreto extremo.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17 de junio de 2016, el Ministerio Fiscal interesó que se otorgara la suspensión solicitada. Tras exponer la doctrina de este Tribunal en relación con el art. 56 LOTC, el Fiscal ante el Tribunal Constitucional sostiene que, en los casos de expulsión de extranjeros, la ejecución de las resoluciones judiciales por las que se declara procedente la expulsión del actor, con la consiguiente salida del territorio nacional, puede convertir en ilusoria una eventual concesión del amparo, pues una vez que el ciudadano expulsado se encuentra fuera de nuestras fronteras, un fallo estimatorio de este Tribunal carecería de eficacia práctica para preservar o restaurar los derechos fundamentales invocados, en la medida en que lo que se trata de evitar con el recurso —la expulsión— ya ha tenido lugar. Aunque una eventual concesión del amparo pueda tener como consecuencia la posibilidad de que el recurrente regrese a España, los perjuicios de carácter personal, económico y familiar que se le ocasionarían con la expulsión serían, en opinión del Ministerio Fiscal, de imposible resarcimiento. Por lo demás, entiende el Fiscal que no parece que, de la suspensión, se derive una perturbación grave del interés general o de los derechos fundamentales o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este Tribunal ha entendido por perjuicio irreparable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(por todos,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expulsión de extranjeros del territorio nacional, este Tribunal ha señalado, con carácter general, que la ejecución de las resoluciones que la acuerdan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 ( AATC 66/2012, de 16 de abril, FJ 2; 116/2013, de 20 de mayo, FJ 2, y 90/2015, de 25 de mayo, FJ 2,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la doctrina precedente al caso ahora examinado debe llevarnos, conforme interesa también el Ministerio Fiscal, a acordar la suspensión de la expulsión del territorio nacional de la persona tutelada por el recurrente, atendiendo al conjunto de las circunstancias personales de aquél, toda vez que tampoco cabe apreciar que dicha suspensión pueda originar una perturbación grave de los intereses generales ni de los derechos fundamentales o libertades públicas de un tercero.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medida de expulsión del territorio nacional y prohibición de entrada durante cinco años impuesta al actor en la resolución de la Subdelegación del Gobierno en Barcelona de 8 de noviembre de 2013 y confirmada en la resolución del mismo órgano de 15 de abril de 2014 y en las Sentencias dictadas por la Sala de lo Contencioso-Administrativo (Sección Segunda) del Tribunal Superior de Justicia de Cataluña el 11 de diciembre de 2015 y por el Juzgado de lo Contencioso-Administrativo núm. 8 de Barcelona el 24 de noviembre de 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junio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