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19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Vicepresidenta,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recurso de inconstitucionalidad núm. 5269-2015, interpuesto por el Consejo de Gobierno de la Comunidad Autónoma de Andalucía, representado por la Letrada de la Junta de Andalucía, contra el artículo 19.3 y la disposición transitoria única de la Ley 32/2014, de 22 de diciembre, de metrología. Ha comparecido y formulado alegaciones la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septiembre de 2015, la Letrada de la Junta de Andalucía, en la representación y defensa que legalmente ostenta, promueve recurso de inconstitucionalidad en relación con el artículo 19.3 y la disposición transitoria única de la Ley 32/2014, de metrología.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sucinta referencia al cumplimiento de los requisitos formales para la interposición del recurso, el escrito de demanda analiza, en primer término, el reparto competencial entre el Estado y las Comunidades Autónomas en materia de metrología, que deriva de lo dispuesto en el artículo 149.1.12 CE y en el artículo 58.4 del Estatuto de Autonomía para Andalucía (EAAnd). Afirma que la distribución de competencias se ajusta al esquema legislación estatal-ejecución autonómica, en virtud del cual se atribuye al Estado toda la legislación, incluidos los reglamentos ejecutivos de desarrollo y complemento de la ley, y a las Comunidades Autónomas las competencias ejecutivas, desarrolladas a través de los reglamentos organizativos, destinados a regular el modo en que la Administración presta sus servicios; al tiempo, la doctrina del Tribunal acoge una concepción de las competencias ejecutivas autonómicas que garantiza la capacidad de decisión organizativa de la Comunidad Autónoma, sin que este ámbito organizativo interno pueda ser restringido por el Estado, invadiendo las competencias ejecutivas que a éstas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efectúa una extensa referencia a la doctrina constitucional en materia de metrología, con especial referencia a las SSTC 100/1991, de 13 de mayo, y 236/1991, de 12 de diciembre, así como a lo señalado en la STC 243/1994, de 18 de agosto, en relación a la naturaleza y alcance de las competencias de ejecución, para afirmar que, de acuerdo con esta última, corresponde a las Comunidades Autónomas que tengan asumidas en sus Estatutos competencias de ejecución en una materia, la organización interna de los servicios y la determinación del modo en que se prestarán esos servicios, sin que el Estado pueda extender su competencia de legislación hasta esos extremos, pues quedarían vacías de contenido las competencias ejecutivas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Comunidad Autónoma, la Ley 32/2014 ha introducido determinadas novedades en la regulación de la organización del control metrológico y, especialmente, en la intervención en el mismo de terceros sujetos (los denominados “organismos designados”) que determinan una injerencia en las competencias autonómicas de ejecución, contraria al bloque de constitucionalidad. En concreto, y de acuerdo con la normativa anterior, la fase de control metrológico de instrumentos de servicio podía ser ejecutada directamente por las Administraciones públicas o bien por los denominados “organismos autorizados de verificación metrológica”. En el primer supuesto, se estaba ante la tramitación de un procedimiento administrativo que finalizaba con la correspondiente resolución; y en el segundo, ante la actuación a través de unos entes públicos o privados, en un sistema próximo a lo que se conoce como participación privada en el ejercicio de funciones públicas. La opción entre una u otra vía, e incluso su coexistencia, correspondía adoptarla a la Comunidad Autónoma, a quien se atribuía también la designación de estos organismos.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dicho modelo, la Comunidad Autónoma de Andalucía decidió que sus funciones de control metrológico del Estado en las fases de evaluación de conformidad —más limitadas— y de instrumentos de servicio —más amplias—, fueran prestadas a través de una entidad instrumental, Verificaciones Industriales de Andalucía, S.A. (VEIASA), sin que, por tanto, pudieran actuar en su territorio otras entidades, por más que las mismas hubieran sido autorizadas para hacerlo en otras Comunidades Autónomas, que hubieran optado por otro modelo de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genérico argumento, el escrito de demanda entra en el examen de los concretos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 apartado 3 viene así a imponer un modelo de organización para el control metrológico del Estado, en particular en la fase de instrumentos de servicio, basado en un régimen de autorización reglada y abierta para los organismos que intervengan en ese ámbito; lo que supone un desapoderamiento a la Comunidad Autónoma de Andalucía de una parte esencial de su competencia ejecutiva en materia de control metrológico, que asumió estatutariamente, y que ha venido ejerciendo a través de la sociedad pública instrumental VEIASA. Es a la Comunidad Autónoma a la que compete la determinación del modelo organizativo para el ejercicio de sus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 párrafo del artículo 19.3 establece un régimen de autorización obligado para las Comunidades Autónomas, que impide que éstas que puedan decidir, de acuerdo con sus competencias de ejecución, el régimen de prestación de los servicios que consideren más adecuado (esto es, si lo prestan a través de su propio aparato administrativo; mediante la creación de entidades instrumentales; mediante la intervención de terceros; o mediante una combinación de ambos sistemas). Este reproche de inconstitucionalidad se hace extensivo a lo señalado en la disposición transitoria única, sobre “Adaptación a lo dispuesto en el artículo 19”, por lo que se considera inconstitucional el mandato contenido en su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párrafo del artículo 19.3 dispone que “los organismos designados podrán actuar en todo el territorio nacional”. Considera el escrito de demanda que esta previsión, que está vinculada con la reforma promovida a través de la Ley 20/2013, de 9 de diciembre, de garantía de la unidad de mercado, además de lesionar las competencias ejecutivas de la Comunidad Autónoma, altera la estructura de los mecanismos de distribución competencial previstos en la Constitución, en cuanto el Estado se arroga la capacidad de redistribuir las competencias autonómicas, haciendo posible que determinadas Comunidades Autónomas ejerzan sus competencias en el ámbito territorial de otras, en la medida en que las autorizaciones que otorguen, con los requisitos que estimen oportunos, tendrán plena validez en otras Comunidades Autónomas. Afirma el Letrado, que se subvierte con ello la estructura misma del Estado autonómico, lesionando lo establecido en el artículo 139.1 CE, que recoge un principio de igualdad de trato que supone que ningún ciudadano puede ser tratado en ninguna Comunidad Autónoma de manera diferente al del resto de los residentes en esa Comunidad Autónoma. Y ello porque el precepto que se examina crea un régimen jurídico específico en función de la Comunidad Autónoma de origen, que será distinto respecto de la normativa de otras Comunidades Autónomas en el territorio de cada una de ellas, lo que implica que no existirán los mismos derechos y obligaciones en cualquier parte del territorio del Estado sino que, por el contrario, en el territorio de cada Comunidad Autónoma podrá aplicarse un régimen jurídico diferenciado según la Comunidad Autónoma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que el precepto produce una vulneración del principio de seguridad jurídica (art. 9.3 CE), al convivir en cada Comunidad Autónoma diecisiete modalidades normativas diferentes para regular la misma actividad, y una infracción de los artículos 7 y 43 del Estatuto de Autonomía para Andalucía, en los que se recoge el principio general de territorialidad de las competencias autonómicas; y ello en cuanto la delimitación del territorio, que es uno de los contenidos obligados de los Estatutos de Autonomía [art. 147.2 b) CE], pierde sentido, a través de esta normativa, que convierte en regla general la eficacia extraterritorial de las normas, desdibujando el territorio como espacio de referencia del ejercicio de las competencias y de la eficacia de las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rechazan asimismo en el escrito de demanda las apelaciones que efectúa el preámbulo de la Ley al necesario cumplimiento de las exigencias derivadas del derecho comunitario europeo, como título legitimador de las novedades que contiene la Ley 33/2014, afirmando que el derecho comunitario en modo alguno habilita el régimen de autorización obligatoria que impone el artículo 19.3 de la Ley. Afirma que la llamada Directiva de servicios no puede constituir justificación de la reforma, puesto que ha sido incorporada al ordenamiento jurídico interno a través de la legislación estatal previa, sin que haya de existir necesariamente un vinculación indirecta de las competencias autonómicas al derecho europeo, mediatizada siempre por el derecho estatal, dado que a las Comunidades Autónomas les corresponde desarrollar el derecho de la Unión en el ámbito de sus competencias constitucionales, y, por tanto, la Directiva de servicios no puede ser objeto de transposición exclusiva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escrito afirmando que, en todos los casos en que la citada directiva menciona a “los Estados”, está mencionando en realidad, de acuerdo con el principio de autonomía institucional, a los poderes públicos que en cada Estado miembro tengan atribuida la competencia material, siguiendo lo dispuesto en su sistema constitucional interno. Esto implica que la Directiva no obliga ni a liberalizar los servicios prestados por la Junta de Andalucía, ni a privatizar entidades públicas que presten este tipo de servicios, por lo que no puede oponerse el derecho europeo a las objeciones de inconstitucionalidad de la Ley 32/2014.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octubre de 2015, el Pleno, a propuesta de la Sección Tercera, acordó admitir a trámite el presente recurso de inconstitucionalidad; dar traslado de la demanda y documentos presentados, conforme establece el artículo 32 de la Ley Orgánica del Tribunal Constitucional (LOTC), al Congreso de los Diputados y al Senado, por conducto de sus Presidentes, y al Gobierno a través del Ministerio de Justicia, al objeto de que, en plazo de 15 días, pudieran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registrado en este Tribunal el 27 de octubre de 2015, comunicó el acuerdo de la Mesa de la Cámara de personarse en el proceso y dar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Congreso de los Diputados, mediante escrito recibido el 28 de octubre, comunicó que la Cámara se personaba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día 28 de octubre de 2015, el Abogado del Estado se personó en las actuaciones y solicitó una prórroga hasta el máximo legal, del plazo concedido para alegaciones. El Pleno, mediante providencia de 29 de octubre siguiente, acordó incorporar a las actuaciones el escrito del Abogado del Estado, a quien se le tiene por personado, y se le prorroga en ocho días más el plazo concedido,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24 de noviembre de 2015 tuvo entrada en este Tribunal escrito de alegaciones del Abogado del Estado, en el que solicita se tenga por evacuado el trámite y, en su día, se dicte Sentencia en la que se desestime íntegramente el recurso de inconstitucionalidad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el primer argumento en que se basa el recurso es el de considerar que tanto el artículo 19.3 como la disposición transitoria única de la Ley 32/2014 suponen una invasión de las competencias ejecutivas que, en materia de metrología, ostenta la Comunidad Autónoma andaluza, impidiendo a la misma organizar su propia forma de control metrológico, que hasta la reforma efectuada por dicha ley, se ejercía de forma exclusiva y excluyente por la entidad instrumental VEIASA, siendo ello contrario a lo establecido en las SSTC 100/1991 y 236/1991. Considera por el contrario el representante estatal que el contenido de las citadas Sentencias viene a confirmar la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es precisamente el ejercicio de la competencia legislativa exclusiva atribuida al Estado por el artículo 149.1.12 CE, el que ampara la aprobación de la Ley 32/2014, que resulta expresión clara de dicha competencia estatal, sin que quepa olvidar que la atribución de competencia sobre “legislación”, y no solo sobre “bases” o “legislación básica”, tiene un alcance mucho más amplio que el enunciado por la Comunidad Autónoma, pues la competencia reservada al Estado se extiende a la totalidad de la legislación, es decir, a toda la capacidad normativa. Por su parte, corresponde a las Comunidades Autónomas, por tratarse de actos o actividades de ejecución, el ejercicio de las actividades de control metrológico en todas sus fases, la determinación de los órganos competentes para la imposición de sanciones en este ámbito, la llevanza del registro de control metrológico y la habilitación de las entidades que realicen actividades de verificación metrológica (SSTC 100/1991 y 236/1991).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 de la Ley regula los organismos designados, que son las entidades que realizan las evaluaciones de la conformidad o las verificaciones relacionadas con la ejecución del control metrológico del Estado. Lo que hace en este punto la ley en el precepto debatido, consiste en determinar las condiciones que han de cumplir dichos organismos para poder realizar la actuación de evaluación y control. La Ley no está haciendo uso pues de una competencia ejecutiva, ni está interfiriendo en su ejercicio, sino que está ejerciendo la potestad normativa propia del Estado mediante el diseño del régimen normativo de dichos organismos. El sometimiento de la actividad de control metrológico a autorización reglada forma parte de la regulación normativa que ha de llevar a cabo la ley, por lo que nos encontramos propiamente ante una competencia normativa, vinculada al establecimiento de un régimen jurídico, y no ante una competencia ejecutiva, consistente en llevar a la práctica dicho régimen.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el Abogado del Estado, que la Comunidad Autónoma puede actuar su competencia ejecutiva, estableciendo los procedimientos aplicables, determinando los órganos competentes, y otorgando las autorizaciones correspondientes, cuando la entidad solicitante cumpla las condiciones para ello, siendo éste el verdadero alcance de la competencia ejecutiva atribuida a la Comunidad Autónoma, y que la ley respeta. A su juicio, carece de sentido considerar que forma parte de la competencia ejecutiva la determinación de si el régimen de acceso a la actividad será mediante autorización o concesión, reglado o discrecional, ya que estas materias tienen naturaleza normativa, de conformidad con la jurisprudencia constitucional. Por lo expuesto, concluye que tanto el artículo 19.3 como la disposición transitoria única de la Ley 32/2014, son conformes con el régimen constitucional de distribución de competencias, pues han sido dictados en ejercicio de la competencia estatal exclusiva sobre legislación en materia de metrología.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el Abogado del Estado, al marco jurídico en el que se aprueba la nueva Ley de metrología. Recuerda, en primer término, que en la Sentencia 236/1991, de 12 de diciembre, el Tribunal vino a avalar la constitucionalidad del precepto en el que se reconoce validez en todo el territorio del Estado a los controles metrológicos que, en aplicación de la misma, efectúen los órganos de la Administración del Estado o, en su caso, los de las Comunidades Autónomas, afirmando que no se produce exclusión alguna, sino un razonable reconocimiento de la eficacia extraterritorial o supracomunitaria de la actividad de control efectuada por las Administraciones autonómicas. A juicio del representante estatal, esta doctrina parte de la base de que las Comunidades Autónomas son Administraciones públicas igualmente integrantes del Estado y, por tanto, el acto de verificación realizado por cualquiera de ellas es digno de igual confianza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la situación en que se promulgó la Ley de metrología de 1985 ha variado sustancialmente consagrándose, tanto a nivel comunitario como a nivel interno, el principio de unidad de mercado. La Ley 20/2013, de 9 de diciembre, de garantía de la unidad de mercado, es la culminación de las exigencias europeas en esta materia, y su salvaguarda solo queda garantizada en el medida en que se disponga —tal y como hace el artículo 19.3 de la Ley 32/2014— un régimen común para el acceso a la actividad de control metrológico del Estado y la previsión de que los organismos designados, una vez autorizados en una Comunidad Autónoma, pueden actuar en todo el territorio nacional, con independencia de la Comunidad Autónoma que haya emitido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unidad de mercado tiene una dimensión que no sólo es nacional, sino también europea, y únicamente se puede garantizar con el establecimiento por cada Estado de un régimen común. Los organismos notificados, que son los sujetos a regulación por la Unión Europea y se dedican a la evaluación de conformidad de instrumentos de regulación armonizada, pueden ser designados por cualquier Estado miembro, trabajar con clientes de cualquier país (incluso extra-comunitario) y sus certificados son válidos en toda la Unión Europea. El principio de eficacia nacional es un pilar básico de la ley, que permite que se haga efectivo el principio de unidad de mercado contenido en el artículo 139 CE; y, al contrario de lo que afirma el recurrente, precisamente para hacer plenamente efectivo ese principio, la Ley extiende el principio de libertad de establecimiento de los prestadores en todo el territorio nacional; en otros términos, el principio de eficacia nacional de los medios de intervención administrativa, a todas las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19.3 y la disposición transitoria única de la Ley 32/2014 no cercenan las competencias ejecutivas de las Comunidades Autónomas; vienen, por el contrario a materializar la unidad de mercado en el ámbito del control metrológico, bajo los principios de confianza mutua y de cooperación interadministrativa, definiendo el marco territorial de eficacia de las condiciones de acceso y de ejercicio, sin alterar el contenido material de las citadas competencias; dicho marco normativo deriva de lo dispuesto en la Directiva 2005/123/CE, de 16 de diciembre, relativa a los servicios en el mercado interior, que cubre expresamente los servicios de certificación y verificación en su artículo 10.4, cuyas previsiones se han transpuesto al ordenamiento jurídico español a través de los artículos 4.2 y 7.3 de la Ley 17/2009, de 23 de noviembre, sobre el libre acceso a las actividades de servicios y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el Abogado del Estado que los preceptos recurridos no vulneran el principio de seguridad jurídica previsto en el artículo 9.3 CE, pues su objetivo es proporcionar seguridad tanto a operadores económicos como a consumidores, simplificando el régimen jurídico aplicable y estableciendo unos requisitos comunes de acceso al ejercicio del control metrológico en todo el territorio nacional, debiendo rechazarse que su aplicación suponga que pueda haber diecisiete modalidades diferentes de acceso al control metrológico pues, precisamente, dicho régimen de acceso constituye una competencia normativa, que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31 de octubre de 2016, el Gabinete Jurídico de la Junta de Andalucía elevó escrito al Pleno de este Tribunal en el que pone de manifiesto que, con posterioridad a la interposición del recurso, se ha dictado la STC 141/2016, de 21 de julio, cuya doctrina vendría a reafirmar la argumentación esgrimida en la demanda, y que se aporta al presente procedimiento, de conformidad con lo previsto en el artículo 89 LOTC, en relación con los artículos 286.1 y 270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del Pleno de 15 de noviembre de 2016 se acordó unir a las actuaciones el escrito y copia de la sentencia que acompaña y dar copia del mismo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5 de octubre de 2017, la Magistrada doña María Luisa Balaguer Callejón comunicó su voluntad de abstenerse en el conocimiento del presente recurso de inconstitucionalidad, por entenderse incluida en el epígrafe 13 del artículo 219 de la Ley Orgánica del Poder Judicial (haber ocupado cargo público, con ocasión del cual haya participado directa o indirectamente en el asunto objeto de la causa). Por Auto de 17 de octubre de 2017, el Pleno de este Tribunal acordó estimar justificada la abstención formulada, apartándola definitivamente del conocimiento del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octubre de 2017,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el Consejo de Gobierno de Andalucía en relación con el artículo 19.3 y la disposición transitoria única de la Ley 32/2014, de 22 de diciembre, de metrología.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recurrente, en los términos ya indicados, considera en síntesis que los preceptos impugnados no respetan el orden constitucional de distribución de competencias que deriva de lo dispuesto en el artículo 149.1.12 CE y en el artículo 58.4 del Estatuto de Autonomía para Andalucía, vulnerando las competencias de ejecución que, en materia de control metrológico, le atribuye el citado precepto estatutario. Dichas competencias ejecutivas incluirían la determinación del modelo organizativo aplicable para el ejercicio de las mismas, por lo que la modificación del anterior sistema de control metrológico, determina el desapoderamiento de las competencias ejecutivas que hasta la presente modificación legislativa venía ejerciendo la Comunidad Autónoma, afectando a las facultades que ostenta para la organización de sus servicios. Se afirma, asimismo, que la atribución de eficacia extraterritorial a la actuación de los organismos de control metrológico designados por las Comunidades Autónomas, vulnera lo dispuesto en los artículos 9.3 y 139.1 CE, así como lo señalado en el artículo 147.2 b) CE en relación con los artículos 7 y 43 de su Estatuto de Autonomía, que recogen el principio general de territorialidad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más ampliamente se expone en los antecedentes, considera que la presente regulación ha sido dictada por el Estado al amparo de la competencia exclusiva que en materia de “legislación sobre pesas y medidas” le atribuye el artículo 149.1.12 CE, sin que los preceptos recurridos interfieran o menoscaben las competencias de ejecución de la legislación estatal que se atribuyen a la Comunidad Autónoma por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y con el fin de situar la norma impugnada en su contexto normativo, conviene recordar que la presente Ley 32/2014, ha venido a sustituir a la Ley 3/1985, de 18 de marzo, de metrología, optando por la aprobación de un nuevo texto, al que se incorporan pues las modificaciones producidas desde la aprobación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3/1985 había sido objeto de diversas reformas, motivadas especialmente por la evolución del Derecho de la Unión Europea —tal y como se describe en el preámbulo de la norma que ahora se examina—; entre ellas cabe destacar la que se produjo mediante el Real Decreto Legislativo 1296/1986, de 28 de junio, por el que se estableció el control metrológico CEE y la que tuvo lugar como consecuencia de la incorporación de la denominada Directiva de servicios, que requirió la aprobación de dos leyes para incorporar su contenido al ordenamiento español: la Ley 17/2009, de 23 de noviembre, sobre el libre acceso a las actividades de servicios y su ejercicio, y, como complemento de la anterior, la Ley 25/2009, de 22 de diciembre, de modificación de diversas leyes para su adaptación a la Ley sobre libre acceso a las actividades de servicios y su ejercicio. Esta última norma, en su artículo 11, modificó diversos aspectos de la vigente Ley de metrología para adaptarla tanto a la Directiva 2004/22/CE, como a la Directiva 2006/123/CE y, concretamente, fueron modificados los artículos 7, 8 y 13, relativos a las fases de control metrológico, el registro de control metrológico y el régimen de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la Ley 32/2014 pretende, entre otros objetivos y según se señala en su preámbulo, ajustar el texto legislativo a los pronunciamientos del Tribunal Constitucional sobre el alcance de las competencias ejecutivas de las Comunidades Autónomas en materia de metrología; adaptar su redacción a la terminología actual en materia de metrología legal, así como a los criterios establecidos por la Organización Internacional de Metrología Legal, de la que España es miembro, y a las resoluciones de la Conferencia General de Pesas y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capítulo V de la Ley comprende los artículos 15 a 19, en los que se regula la organización y estructura administrativa dedicada al control metrológico en el ámbito de la Administración General del Estado. Y, como señala el preámbulo, “prevé también la posibilidad de habilitación, mediante la correspondiente autorización administrativa, a quienes, como organismos designados a los que alude el artículo 19, intervienen en el control metrológico del Estado, figura ésta contemplada en las Directivas de la Unión Europea y ya recogida en nuestro ordenamiento por el Real Decreto 889/2006, tanto en relación con instrumentos de regulación armonizada como respecto a instrumentos con regulación específica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artículo 19 viene a regular los llamados “organismos designados”. De acuerdo con lo dispuesto en su apartado 1, los organismos designados son las entidades que realicen las evaluaciones de conformidad o las verificaciones relacionadas con la ejecución del control metrológico del Estado, y serán habilitados para el desarrollo de su actividad por las Administraciones públicas competentes para el ejercicio de esas funciones. Se contemplan asimismo los organismos notificados, que son los que actúan en la evaluación de conformidad de los instrumentos sometidos a la legislación armonizada de la Unión Europea. Los organismos de control metrológico actúan en la evaluación de conformidad de los instrumentos sometidos a la legislación nacional; y los organismos autorizados de verificación metrológica actúan en la fase de instrumentos de servicios. El precepto añade que el procedimiento para la designación de estos organismos y su régimen de incompatibilidades se regularán por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del artículo 19 dispone que serán requisitos esenciales para la designación de estos organismos, la comprobación de su independencia y cualificación técnica. Las Administraciones públicas competentes velarán por la independencia de las entidades y empresas privadas o personas físicas que designen; y se presumirá dicha independencia cuando se trate de Administraciones públicas y organismos y entidades de titularidad pública. Añade el precepto que la cualificación técnica se presumirá para el Centro Español de Metrología y para quienes sean acreditados al efecto por la Entidad Nacional de Acreditación. Las Administraciones públicas competentes podrán apreciar la cualificación por otros medios, en los supuestos que se determinen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del artículo 19 —que constituye el objeto del presente recurso de inconstitucionalidad— dispone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competentes otorgarán la correspondiente autorización a aquellas entidades que cumplan los requisitos a que se refiere el apartado anterior de conformidad con el procedimiento que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organismos designados podrán actuar en todo el territorio nacional y sus certificados y otros documentos reglamentarios para el control metrológico del Estado tendrán validez y eficacia en cualquier lugar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formulada alcanza también a lo dispuesto en la disposición transitoria única de la Ley 32/2014, sobre “Adaptación a lo dispuesto en el artículo 19”, en la que se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Públicas competentes para la ejecución del control metrológico del Estado cuyo régimen de habilitación no sea conforme a lo establecido en el art. 19.3, deberán adoptar las medidas necesarias para garantizar la aplicación de lo dispuesto en dicho apartado antes del 1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tanto no se aprueben las normas de desarrollo de lo dispuesto en el art. 19 de esta y sean designados conforme a la misma, el Centro Español de Metrología y demás organismos designados podrán seguir realizando las que estén habilitados, de acuerdo con los plazos y condiciones establecidos en las normas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que sustenta la impugnación del primer inciso del artículo 19.3, es que, en cuanto viene a modificar el procedimiento a seguir para la realización del control metrológico, mediante la intervención en el mismo de los llamados “organismos designados”, invade las competencias de ejecución que corresponden a la Comunidad Autónoma en materia de control metrológico, afectando indebidamente a las facultades que ésta ostenta para la organización de sus propios servicios; esto es, para la determinación del modelo organizativo a que ha de ajustarse el ejercicio de sus funciones ejecutivas en este ámbito. Este mismo reproche se hace extensivo, por conexión, a lo señalado en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previsto en el segundo inciso del artículo 19.3, afirma la representación autonómica que la atribución de efectos supraterritoriales a las autorizaciones que se otorguen por los organismos designados, lesiona el artículo 139.1 CE, al permitir la convivencia en el territorio autonómico de regímenes jurídicos específicos, en función de la Comunidad Autónoma de origen del organismo designado; vulnera el artículo 9.3 CE, al convivir en cada Comunidad Autónoma diecisiete normativas diferentes para regular una misma actividad; e infringe lo dispuesto en el artículo 147.2 b) CE, en conexión con los artículos 7 y 43 del Estatuto de Autonomía para Andalucía, que recogen el principio general de territorialidad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Dado que nos encontramos ante una controversia esencialmente competencial, debemos comenzar por el encuadramiento material de la norma controvertida en el esquema constitucional de distribución de competencias, teniendo en cuenta que ambas partes coinciden en señalar que la materia controvertida es la relativa a metrología, a la que hacen referencia tanto el artículo 149.1.12 CE como el artículo 58.4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artículo 149.1.12 CE corresponde al Estado la competencia exclusiva en materia de “legislación sobre pesas y medidas”; en tanto que el artículo 58.4, apartado cuarto, del Estatuto de Autonomía para Andalucía dispone que la Comunidad Autónoma asume competencias ejecutivas en materia de “Control, metrología y contraste de metales”. Sobre el régimen de distribución de competencias en materia de pesas y medidas, noción que en la actualidad ha venido a ser sustituida en nuestro ordenamiento por la de “metrología”, se ha pronunciado este Tribunal fundamentalmente en dos Sentencias: STC 100/1991, de 13 de mayo y STC 236/1991,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ellas, relativa a la Ley 3/1985, de 18 de marzo, de metrología, se contiene un pronunciamiento de carácter general sobre el régimen competencial en la materia, conforme al cual: “Se reserva en la Constitución al Estado, la legislación sobre pesas y medidas, y, consecuentemente, se asume en el Estatuto por la Administración autonómica la ejecución de la legislación del Estado. El alcance que debe concederse a estos conceptos de ‘legislación’ y ‘ejecución’ como criterios de deslinde competencial es el que resulta de una reiterada jurisprudencia constitucional (SSTC 33/1981, 18/1982, 35/1982 y 39/1982, entre otras muchas), elaborada en torno a otros preceptos constitucionales que emplean la misma técnica. Este Tribunal ha venido declarando que cuando la Constitución usa el término ‘legislación’ y lo atribuye a la competencia estatal, incluye los reglamentos tradicionalmente denominados ejecutivos, esto es, los dictados en desarrollo de la Ley y complementarios de la normativa en ella recogida, con la finalidad de mantener una uniformidad en la ordenación jurídica de la materia, facilitando la colaboración entre Ley y Reglamento” (STC 100/1991,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delimitación competencial, la Sentencia entiende que ello exige determinar en cada caso el carácter normativo o simplemente ejecutivo de las previsiones contenidas en los preceptos impugnados. Ello lleva, en este pronunciamiento, a declarar que forman parte de las competencias autonómicas, por su naturaleza típicamente ejecutiva, las actividades o fases de control metrológico consistentes en la aprobación de modelo y verificación primitiva, pues no hay en ellas “innovación normativa” alguna, dado que la actividad supone simplemente la comprobación de que los modelos o instrumentos fabricados según esos modelos, cumplen las características técnicas fijadas por la Administración del Estado en las normas reglamentarias correspondientes (FJ 3). Otro tanto se viene a afirmar en relación con el ejercicio de la potestad sancionadora, considerando que forma parte de la competencia ejecutiva autonómica, la facultad de imponer sanciones a las infracciones cometidas en esta materia, aplicando la normativa estatal con rango legal o, en su caso, reglamentario que se dicte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236/1991 vino a resolver cinco conflictos positivos de competencia planteados por varias Comunidades Autónomas frente a tres disposiciones reglamentarias dictadas en desarrollo de la Ley 3/1985, y, siguiendo los parámetros definidos en la anterior Sentencia, vino a confirmar la competencia autonómica en relación con las facultades de naturaleza ejecutiva relativas al control metrológico (aprobación del modelo y verificación primitiva); habilitación de laboratorios de verificación metrológica, oficialmente autorizados; llevanza del Registro de Control Metrológico; y el denominado control metrológico CEE. En el fundamento jurídico 5 de este pronunciamiento se afirmó expresamente la constitucionalidad de la previsión en virtud de la cual se reconocía validez en todo el territorio del Estado a los controles metrológicos que, en aplicación de la ley, efectuasen los órganos de la Administración del Estado o, en su caso, los de las Comunidades Autónomas, afirmando que “no existe aquí, por tanto, exclusión alguna de las facultades autonómicas de ejecución, sino un razonable reconocimiento de la eficacia extraterritorial o supracomunitaria de la actividad de control efectuada por las Administraciones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 pues el debate en los términos expuestos, e iniciando el examen de fondo por lo dispuesto en el artículo 19.3, primer inciso, lo que, en esencia, discute la Comunidad Autónoma es el alcance que debe atribuirse a la competencia estatal en materia de “legislación”, entendiendo que dicha competencia no le habilita para modificar el modelo vigente de organización del control metrológico, pues considera que dicha modificación afecta o incide en sus competencias de ejecución y, en concreto, en la facultad que le corresponde para la organización de sus servicios de control metrológico, al haberse sustituido el anterior régimen concesional, por un régimen de autorización abierta y reglada en favor de los llamados “organismos designados”.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tuvimos ocasión de afirmar en la STC 100/1991, forma parte del ámbito propio de la “legislación” en materia de metrología, la determinación de los criterios normativos que habrán de aplicar las Comunidades Autónomas en el ejercicio de sus competencias de ejecución en materia de control metrológico, pues es al Estado, en virtud de sus competencias en materia de legislación sobre pesas y medidas, a quien corresponde en exclusiva la regulación completa de la metrología, ya sea mediante normas de rango legal o reglamentario, y el establecimiento de un régimen jurídico común y, en consecuencia, quien ostenta con carácter excluyente la competencia para abordar la fijación normativa del procedimiento a seguir para el ejercicio de las competencias ejecutivas autonómicas de control metrológico, quedando limitada la competencia autonómica a la emanación de los reglamentos internos de organización de los servicios necesarios, y a la puesta en práctica de la normativa reguladora establecida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plantea, en concreto, es si es constitucional que el Estado condicione normativamente cómo la Administración autonómica ha de materializar su competencia ejecutiva. Respecto de dicha cuestión, nuestra doctrina ha reconocido expresamente que (incluso al amparo de competencias de carácter básico), puede el Estado condicionar normativamente cómo la Administración autonómica ha de materializar su competencia ejecutiva, siendo trasladables dichos argumentos al supuesto que ahora se analiza, en el que, además, la intervención estatal resulta más intensa que la que deriva de una competencia de carácter básico, en cuanto la reserva competencial al Estado alcanza a la totalidad de la legislación en materia de metrología.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hemos tenido ocasión de recordar recientemente [STC 79/2017, de 22 de junio, FJ 7 b)], esta cuestión ha quedado en buena medida respondida por la doctrina de este Tribunal; por ejemplo en la STC 139/2013, de 8 de julio, FJ 4 afirmamos que la fijación de una determinada modalidad de intervención administrativa constituye una medida de carácter indudablemente normativo; expresa una opción de política legislativa adoptada en el marco de la libertad de configuración que la Constitución atribuye al Estado a través del artículo 149.1.13 CE¸ y este título competencial ampararía no sólo la restricción de una determinada modalidad de intervención administrativa, sino también la fijación de una concreta modalidad de intervención. Igualmente, en la STC 54/2017, de 11 de mayo, FJ 7.b afirmamos que “la directa conexión con objetivos fundamentales de la política económica y, en general, con los fines de legislación para cuya aprobación es competente el Estado (p. ej. en materia de medio ambiente), puede llegar a justificar una regulación de modalidades específicas de intervención administrativa en supuestos especiales. Así lo hemos declarado en relación con una previsión estatal que sustituía el régimen de autorización por el régimen de notificación al órgano autonómico correspondiente para que los titulares de viviendas protegidas para alquiler puedan enajenarlas a determinadas sociedades (STC 139/2013, de 8 de julio, FJ 13); o respecto de una previsión de la Ley de costas que obliga a los titulares de obras e instalaciones incorporados en la zona de servidumbre de protección a acreditar mediante declaración responsable ante la Administración autonómica determinadas circunstancias (que las obras supondrán una mejora en la eficiencia energética, emplearán mecanismos que conlleven un ahorro efectivo en el consumo de agua y fomentarán el uso de recursos hídricos marginales para el riego de jardines y espacios verdes), STC 57/2016,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ahora se examina, el condicionamiento normativo consistente en determinar que la Administración autonómica desarrolle su competencia ejecutiva mediante una concreta técnica (autorización de organismos designados), tiene un carácter puramente normativo, se encuentra amparado en las competencias legislativas estatales ex artículo 149.1.12 CE, se justifica en el propio preámbulo de la norma en las exigencias derivadas de la necesaria adaptación a la normativa comunitaria, y se dirige al logro de dos objetivos: garantizar un tratamiento común de los titulares de los derechos y asegurar un control independiente.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Reconocida pues la competencia estatal para determinar normativamente el mecanismo de intervención administrativa a que habrá de ajustarse la Comunidad Autónoma en el ejercicio de sus competencias de ejecución, ha de reconocerse también que se inserta en el ámbito de las competencias estatales, la facultad para introducir modificaciones normativas en el marco regulador aplicable al ejercicio de las citadas funciones ejecutivas, en aquellos sectores materiales regidos por el binomio legislación-ejecución, sin que la modificación del modelo aplicable sea susceptible de vulnerar la delimitación de competencias, dado que la competencia autonómica de ejecución queda circunscrita a los exclusivos aspectos de ejecución o gestión de la normativa estatal, quedando pues al margen de dicha competencia toda pretensión relativa a la ordenación o regulación del sistema arbitrado por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supuesta vulneración competencial no puede derivar tampoco de la modificación del modelo anterior de organización del control metrológico ni del contraste con el sistema anterior, pues la referencia a lo dispuesto en la normativa anterior, en ningún caso puede erigirse en un factor de petrificación, que en tantas ocasiones hemos rechazado por contrariar el legítimo margen de configuración del legislador democrático y el propio carácter dinámico del ordenamiento jurídico, lo que hace inviable la pretensión de permanencia e inalterabilidad en el tiempo o la imposibilidad de adaptar la regulación al cambio de circunstancias (por todas, STC 233/2015, de 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asimismo que, con ocasión del nuevo modelo, se haya producido un desapoderamiento de las competencias autonómicas de ejecución, pues el artículo 19 sitúa ante las “Administraciones Públicas competentes” el ejercicio de las citadas competencias; en concreto, la habilitación de estas entidades para el desarrollo de su actividad (apartado primero), la facultad de velar por la independencia de las entidades y empresas privadas o personas físicas que designen, así como la de apreciar la cualificación técnica de las mismas (apartado segundo), y el otorgamiento de la correspondiente autorización, de conformidad con el procedimiento que establezcan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y aunque la fijación de un nuevo marco normativo para el ejercicio de las competencias ejecutivas autonómicas es susceptible de afectar al sistema seguido hasta la fecha por la Comunidad Autónoma para la organización de sus servicios de control metrológico, ello no implica que se haya producido una intromisión ilegítima del Estado en esas competencias autonómicas de organización, que permanecen incólumes y habrán de ser desarrolladas por la propia Administración autonómica, a través de los oportunos mecanismos de adaptación a la nueva regulación aquí contemplada.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argumentos que acaban de exponerse y que determinan que deba rechazarse la impugnación dirigida contra el primer inciso del artículo 19 de la Ley 32/2014, son extensibles a lo señalado en la disposición transitoria única, respecto de la cual no se formula por el recurrente argumentación específica alguna, sino por mera conexión, dado que la misma tiene un carácter puramente instrumental o subsidiario, dirigido a articular la adaptación temporal a lo dispuesto en el artículo 19; por lo que siendo la misma “una norma con vocación de vigencia temporal y con la estricta y limitada finalidad de garantizar la efectividad de la regulación establecida legítimamente en ejercicio de competencias el Estado, procede afirmar que no es contraria a la distribución competencial que perfila nuestro texto constitucional” [STC 141/2014, FJ 8 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conclusiones no resultan alteradas por lo señalado en la STC 141/2016, de 21 julio que, con posterioridad a la formulación del escrito de demanda, fue unida a las presentes actuaciones a solicitud de la representación autonómica; y ello por la diferente naturaleza de las cuestiones allí examinadas.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141/2016 vino a declarar la inconstitucionalidad del artículo 11.1 del Real Decreto 239/2013, de 5 de abril, declaración que tenía su fundamento en la asunción en exclusiva por el Estado de facultades de naturaleza propiamente ejecutiva y no normativa, como era la competencia exclusiva para la “acreditación de los verificadores medioambientales”, competencia que se localizaba en un organismo estatal (la Entidad Nacional de Acreditación). Por esta razón, se vino a señalar que “al atribuir en exclusiva a la Entidad Nacional de Acreditación, la acreditación de los verificadores medioambientales, ha invadido las competencias ejecutivas que pertenecen al Gobierno de la Generalitat en materia de medio ambiente” (FJ 7). Es evidente que los parámetros entre aquel supuesto y el que ahora es objeto de examen, son radicalmente diferentes, pues en el caso que aquí se examina lo que se ha puesto en cuestión es el alcance de los condicionamientos normativos a que ha de sujetarse el ejercicio de las competencias autonómicas de ejecución, pero la facultad de naturaleza ejecutiva consistente en la autorización de los organismos de control —y que es la que resultaría equivalente, mutatis mutandis, a aquella de acreditación de verificadores— permanece en el ámbito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segundo inciso del artículo 19.3 de la Ley 32/2014 viene a recoger el principio general de eficacia supraterritorial de las actuaciones de los organismos designados, haciendo posible que sus certificados y documentos reglamentarios de control metrológico tengan validez y eficacia en cualquier parte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previsión no constituye una novedad en la normativa en materia de metrología, pues una regulación similar se contemplaba en el artículo 7.4 de la Ley 3/1985, de 18 de marzo, y en la modificación introducida en el mismo por el artículo 11.1 de la Ley 25/2009, de 22 de diciembre, de modificación de diversas leyes para su adaptación a la ley sobre el libre acceso a las actividades de servicios, y había sido expresamente refrendada también por la Sentencias dictadas en materia de metrología, que más arriba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en materia de supraterritorialidad de las competencias autonómicas, es objeto de síntesis en el fundamento jurídico 13 a) de la reciente STC 79/2017, de 22 de junio, dictada en relación con la Ley 20/2013, de 9 de diciembre, de garantía de la unidad de mercado. En la misma se viene a recordar, de entrada, que: “el alcance territorial de las competencias autonómicas viene impuesto por la organización territorial del Estado en Comunidades Autónomas (art. 137 de la Constitución) y responde a la necesidad de hacer compatible el ejercicio simultáneo de las competencias asumidas por las distintas Comunidades (STC 44/1984, de 27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territorio [autonómico] se configura como un elemento definidor de las competencias de cada Comunidad Autónoma en su relación con las demás Comunidades Autónomas y con el Estado, y permite localizar la titularidad de la correspondiente competencia, en atención al ámbito en que se desarrollan las oportunas actividades materiales. Las competencias de las Comunidades Autónomas se circunscriben a su ámbito territorial (STC 3/2014, de 16 de enero, FJ 3). El principio de territorialidad de las competencias es, por tanto, algo implícito al propio sistema de autonomías territoriales (SSTC 13/1988, FJ 2; 48/1988, FJ 44; 49/1988, FJ 30, y 40/1988, de 19 de febrero, FJ 45) de manera que, aunque no sea en sí mismo, un título atributivo de competencias fuera de los casos expresamente previstos en el bloque de la constitucionalidad, se relaciona con él puesto que significa que las competencias autonómicas deben de tener por objeto fenómenos, situaciones o relaciones radicadas en el territorio de la propia Comunidad Autónoma, de modo que el ejercicio de las citadas competencias queda referido al ámbito territorial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este entendimiento, los Estatutos de Autonomía han dispuesto que el ámbito espacial de las competencias de sus instituciones esté referido al territorio autonómico respectivo. Territorio que, de acuerdo con el artículo 147.2 b) CE, corresponde delimitar, como contenido necesario, a los Estatutos de las Comunidades Autónomas, que de este modo delimitan el ámbito espacial de aplicación de los actos y disposiciones jurídicas pertenecientes al subsistema normativo de cada Comunidad Autónoma (STC 99/1986, de 11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este Tribunal ha distinguido entre el ejercicio de las competencias autonómicas, como regla general limitado al ámbito territorial correspondiente, y los efectos del ejercicio de dichas competencias, que pueden manifestarse en específicas ocasiones, fuera de dicho ámbito. En concreto, hemos afirmado que la limitación territorial de la eficacia territorial de las normas y actos no puede significar que le esté vedado a una Comunidad Autónoma, en uso de sus competencias propias, adoptar decisiones susceptibles de producir consecuencias de hecho en otros lugares del territorio nacional. La privación a las Comunidades Autónomas de la posibilidad de actuar cuando sus actos pudieran originar consecuencias más allá de sus límites territoriales supondría en la práctica privarlas de capacidad de actuación” [STC 79/2017,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cuestión planteada en este proceso, esto es, si resulta conforme al orden constitucional de distribución de competencias, la atribución de eficacia extraterritorial a las actuaciones ejecutivas autonómicas, señala la citada Sentencia que “el reconocimiento por parte del Estado de efectos supraautonómicos a las actuaciones autonómicas tiene, en principio un límite claro: la imposibilidad de reconocer tales efectos cuando no existe una equivalencia en las normativas aplicables. En la medida en que exista una legislación estatal común, o exista una pluralidad de legislaciones autonómicas que, no obstante sus posibles diferencias técnicas o metodológicas, fijen un estándar que pueda ser considerado como equivalente, el Estado podrá reconocer a las decisiones ejecutivas autonómicas efectos extraterritoriales a través de la imposición del reconocimiento de la decisión adoptada en una determinada Comunidad Autónoma al resto. Así lo habría reconocido nuestra doctrina en relación con las actuaciones autonómicas de carácter ejecutivo (SSTC 243/1994, 175/1999, 126/2002, 14/2004 y 33/2005)” [STC 79/2017,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que venimos citando viene, además, a recordar expresamente la constitucionalidad de la eficacia extraterritorial de las actuaciones ejecutivas autonómicas en materia de control metrológico, como trasunto concreto de su doctrina general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referido en alguna ocasión al razonable reconocimiento de la eficacia extraterritorial o supracomunitaria de determinadas acciones efectuadas por las Administraciones autonómicas cuando se trata de supuestos de actuación ejecutiva autonómica que aplicaban un estándar equivalente al recogido en una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aconteció, por ejemplo, en las SSTC 100/1991 de 13 de mayo, o 236/1991, de 12 de diciembre, en la que este Tribunal consideró plenamente constitucional el art. 7.5 de la Ley de Metrología, que reconocía validez en todo el territorio del Estado a los controles metrológicos que, en aplicación de la misma, efectuase los órganos de la Administración del Estado o, en su caso, los de las Comunidades Autónomas. Para este Tribunal ´no existe aquí…exclusión alguna de las facultades autonómicas de ejecución, sino un razonable reconocimiento de la eficacia extraterritorial o supracomunitaria de la actividad de control efectuada por las Administraciones autonómicas´ (STC 236/1991, de 12 de diciembre, FJ 5). En estos supuestos, siendo las normas a aplicar comunes, pues la legislación sobre pesas y medidas es una competencia exclusiva del Estado (art. 149.1.12 CE), este Tribunal ha admitido que los actos autonómicos que se limitan a aplicar, además con carácter reglado, tales normas puedan surtir efectos en todo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la medida en que exista una normativa de la Unión Europea armonizada o una legislación estatal común, o exista una pluralidad de legislaciones autonómicas que, no obstante sus posibles diferencias técnicas o metodológicas, fijen un estándar que pueda ser considerado equivalente, el Estado podrá reconocer a las decisiones autonómicas efectos extraterritoriales a través de la imposición del reconocimiento de la decisión adoptada en una determinada Comunidad Autónoma en el resto” [STC 79/2017, FJ 12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explícito y reiterado reconocimiento en la doctrina constitucional, de la eficacia extraterritorial de las decisiones adoptadas en materia de control metrológico en una Comunidad Autónoma, en razón de su carácter de actuaciones ejecutivas que se limitan a aplicar con carácter reglado una legislación estatal común, permite rechazar la impugnación dirigida contra el precepto que se analiza. El artículo 19.3, segundo inciso viene a hacer efectivo el principio de unidad de mercado, recogido en el artículo 139 CE, definiendo las condiciones comunes de acceso y de ejercicio por los organismos de control, sin alterar el contenido material de las competencias atribuidas a las Comunidades Autónomas; y no infringe el principio de seguridad jurídica del artículo 9.3 CE, en cuanto se limita a contemplar unos requisitos comunes para el ejercicio del control metrológico en todo el territorio, sin que ello suponga —como afirma el escrito de demanda— la aplicación de diecisiete normativas diferentes, dado que la normativa es única, y corresponde establecerla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asimismo rechazarse el argumento contenido en la demanda sobre el alcance de las competencias autonómicas para el desarrollo del derecho comunitario europeo, y ello porque, como reiteradamente hemos señalado, “son las reglas internas de delimitación competencial las que en todo caso han de fundamentar la respuesta a los conflictos planteados entre el Estado y las Comunidades Autónomas”, pues el “derecho comunitario no es en sí mismo canon o parámetro directo de constitucionalidad en los procesos constitucionales”; “las normas del Derecho de la Unión Europea, originario o derivado, carecen de rango y fuerza constitucionales”; y el orden competencial establecido por la Constitución “no resulta alterado ni por el ingreso de España en la Comunidad Europea ni por la promulgación de las normas comunitarias” (por todas, STC 165/2016, de 6 de octubre, FJ 6), razón por la cual, nuestro enjuiciamiento debe circunscribirse a determinar si las concretas normas impugnadas pueden considerarse o no dictadas en el legítimo ejercicio de las competencias que la Constitución atribuye al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