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3218-2017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3218-2017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segunda Sentencia de la Sala de lo Penal del Tribunal Supremo núm. 983/2016, de 11 de enero de 2017, —aclarada por Auto de 7 de febrero de 2017—, dictada en el recurso de casación núm. 722-2016, exclusivamente en lo referido a las penas privativas de libertad y accesorias a las mismas impuestas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junio de 2017, la Procuradora de los Tribunales doña María del Carmen Iglesias Saavedra, en nombre y representación de don Pedro Chaparro Velacoracho, y bajo la dirección del Letrado don Santiago Borja Redondo, interpuso recurso de amparo contra el Auto de la Sala de lo Penal del Tribunal Supremo de 4 de mayo de 2017, por el que se desestima el incidente de nulidad de actuaciones interpuesto contra las Sentencias núm. 983/2016, de 11 de enero de 2017 —aclaradas por Auto de 7 de febrero de 2017—, por las que se estima el recurso de casación núm. 722-2016 interpuesto contra la Sentencia de la Sección Trigésima de la Audiencia Provincial de Madrid núm. 61/2916, de 19 de febrero, dictada en el procedimiento abreviado núm. 313-2015, y se condena al recurrente por un delito de desórdenes públicos en concurso ideal con impedimento del derecho de reunión con la agravante de obrar por motivos de discriminación ideológica a la pena de prisión de dos años y diez meses con la accesoria de inhabilitación especial para el derecho de sufragio pasivo durante el periodo de la condena; por un delito de daños ocasionados en bienes de propiedad pública con la agravante de obrar por motivos discriminatorios ideológicos y la atenuante de reparación del daño a la pena de prisión de un año y un mes y multa de catorce meses con cuota diaria de 10 € y responsabilidad personal subsidiaria en caso de impago de la multa de un día de privación de libertad por cada dos cuotas de la multa no abonadas; por una falta de lesiones a la pena de un mes de multa con cuota diaria de 10 € y responsabilidad personal subsidiaria en caso de impago de la multa de un día de privación de libertad por cada dos cuotas de la multa no abonadas; al pago de las 2/79 partes de las costas del juicio, incluidas las de las acusaciones particulares; al pago conjunto y solidario de responsabilidades civiles en las cantidades de 1.372,14 € y 94,2 € para dos perjudicados y al pago de una responsabilidad civil de 600 € al perjudicado por la falta de lesiones.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resolución judicial impugnada en lo relativo a las penas privativas de libertad impuestas al recurrente, argumentando que de la ejecución se derivan perjuicios irreparables si se estima el recurso de amparo, siendo inexistentes los perjuicios para terceros o el interés general, ya que concurren las circunstancias de que el recurrente está en libertad, tiene 30 años de edad, un hijo de dos años y medio, trabajo estable desde 2015, carece de antecedentes penales, los hechos enjuiciados datan de septiembre de 2013, sin existir dilaciones indebidas imputables al penado, el excesivo rigor de las penas impuestas atendidos los hechos, que se trata de penas cortas privativas de libertad inferiores a cinco años, la satisfacción de las responsabilidades civiles, la satisfacción y reparación de los daños inmediatamente a la instrucción de la causa en el año 2013, su arraigo familiar y la condición de que es padre de un hijo de corta edad cuya madre también está condenada en esta causa y que siempre ha estado a disposición del tribunal sentenciador. Por escrito registrado en este Tribunal el 3 de octubre de 2017, se reiteró la solicitud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probados en que se fundamenta la condena cuya suspensión se solicita fueron que el 11 de septiembre de 2013, la Delegación del Gobierno de la Generalitat de Cataluña ante el Gobierno del Estado organizó un acto oficial para celebrar la Diada en el centro cultural Blanquerna, propiedad de la Generalitat. El acto comenzaba a las 19:30 horas y su celebración se difundió por las redes sociales. Un grupo de personas afiliadas o simpatizantes de Democracia Nacional, Falange, Nudo Patriota Español y Alianza Nacional convocó una protesta, para lo que convinieron reunirse en la puerta del citado centro. Se congregaron unas 200 personas y cuando el Delegado de la Generalitat se dirigía al atril para tomar la palabra y presentar el acto, accedió al local un grupo de las personas que estaban congregadas afuera, entre ellas el recurrente. Con la finalidad de impedir la celebración del acto, actuando de forma conjunta, accedieron en tropel a la planta a pie de calle, donde se encuentra la librería abierta al público, y rompieron la puerta automática de cristal de entrada causando daños tasados en 1.372,14 €. Desde ella descendieron por las escaleras a la planta inferior, donde se iba a desarrollar el acto, coreando “no nos engañan Cataluña es España”. El grupo se fue abriendo paso hacia el atril entre los asistentes, que se apartaban, pero en un instante empujaron y derribaron al suelo a uno de los asistentes, diputado en el Congreso de los Diputados, sin que constara que conocieran su identidad. En el estrado uno de los condenados arrojó al suelo de un manotazo la señera, el recurrente golpeó el micrófono situado en el atril y otro de los condenados arrojó al suelo el atril, ante el que se mantenía el Delegado de la Generalitat, cuya identidad desconocía, y a él se dirigió con insultos relativos a su condición de catalán y amenazas de muerte, que le obligaron a retroceder. Otro de los asistentes fue escupido y recibió una patada. Tras poco más de un minuto, el grupo abandonó el local. Uno de sus integrantes arrojó un espray irritante que provocó picores, irritación, náuseas y otros menoscabos en los asistentes, lo que obligó a suspender el acto. Cuando el grupo estaba saliendo de la sala, el recurrente dio un manotazo a la cámara con la que grababa el acto un trabajador de TV3, que al impactar contra su cuerpo le obligó a efectuar un movimiento brusco que le produjo contusión postraumática en el hombro derecho, de la que curó en nueve días con una primera asistencia facultativa.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alegan, entre otros motivos, las vulneraciones del derecho a la tutela judicial efectiva (art. 24.1 CE), a un proceso con todas las garantías y a la presunción de inocencia (art. 24.2 CE), por haberse producido una agravación de la condena en segunda instancia en ausencia de inmediación y sin oír al recurrente; del principio acusatorio, por haberse impuesto una condena de distinta naturaleza y pena mayor a la interesada; de la tutela judicial efectiva (art. 24.1 CE) y el principio de legalidad (art. 25.1 CE) por indebida aplicación de la agravante de actuar por motivos ideológicos y la apreciación en los daños del subtipo agravado de ser bienes de dominio o uso público; y a la libertad ideológica (art. 16 CE) y de reunión (art. 21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providencia de 16 de noviembre de 2017, acordó la admisión a trámite de la demanda de amparo, apreciando que concurre en el mismo una especial trascendencia constitucional (art. 50.1 de la Ley Orgánica del Tribunal Constitucional)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y la formación de pieza separada para la tramitación del incidente sobre la suspensión solicitada, concediendo al recurrente y al Ministerio Fiscal el plazo común de tres días naturales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20 de noviembre de 2017, presentó alegaciones en las que, enunciando la doctrina de este Tribunal sobre el particular, interesó la suspensión de la penas privativas de libertad y accesorias de derechos. Argumenta que la denegación de la suspensión causaría al recurrente un perjuicio irreparable o de muy difícil restitución que podría hacer perder al amparo su finalidad por tratarse de unas penas que acumuladas no superan los cinco años de prisión y que no cabe apreciar una perturbación grave a los intereses generales o derechos fundamentales o libertades públicas de un tercero, más allá del genérico que toda inejecución de una resolución judicial supone, constatándose la circunstancia de arraigo a los efectos de valorarse el posible interés en sustraerse a la acción de la justicia. Por el contrario, considera que no debe accederse a suspender la condena a las penas de multa y al pago de las costas procesales por su carácter de consecuencia jurídica de carácter económico que son susceptibles de reparación posterior.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por escrito registrado el 17 de noviembre de 2017, presentó alegaciones reiterando la solicitud de suspensión por los razonamientos expresados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analizar la solicitud de suspensión de la ejecución de la segunda Sentencia de la Sala de lo Penal del Tribunal Supremo núm. 983/2016, de 11 de enero de 2017 —aclarada por Auto de 7 de febrero de 2017—, en lo relativo a las penas privativas de libertad que se imponen al recurrente, únicas cuya suspensión ha sido solicitada. En concreto, en dicha sentencia las penas privativas de libertad que se han impuesto al recurrente son (i) la pena de prisión de dos años y diez meses por la comisión de un delito de desórdenes públicos en concurso ideal con impedimento del derecho de reunión con la agravante de obrar por motivos de discriminación ideológica; y (ii) la pena de prisión de un año y un mes por la comisión de un delito de daños ocasionados en bienes de propiedad pública con la agravante de obrar por motivos discriminatorios ideológicos y la atenuante de reparación del daño.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56.1 de la Ley Orgánica del Tribunal Constitucional (LOTC) dispone que la interposición de un recurso de amparo no suspenderá los efectos del acto o Sentencia impugnados, concretando el artículo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esta previsión legal, este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por lo que esta medida cautelar resulta pertinente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Igualmente, este Tribunal también ha dicho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(ATC 94/2015, de 25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Más concretamente, este Tribunal ha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Esto último sucede en las condenas a penas privativas de libertad. El carácter prevalente y especialmente preciado de este derecho impone que cualquier decisión respecto de la suspensión de la ejecución efectiva de cualquier restricción, limitación y privación del mismo deba ser adoptada con un singular cuidado y respeto al principio de proporcionalidad en atención a que “la libertad constituye un derecho cuya naturaleza convierte el perjuicio irrogado en irreparable, en caso de estimarse el amparo una vez cumplida parcial o totalmente la pena” (ATC 291/2014, de 1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ese modo, este Tribunal ha establecido que en el marco de los recursos de amparo la decisión que debe adoptar de suspensión de las resoluciones judiciales que imponen penas privativas de libertad constituye un juicio complejo en que hay que tomar en consideración diversos factores como son (i) la gravedad y naturaleza de los hechos enjuiciados en atención al bien jurídico protegido y su trascendencia social; (ii) la duración de la pena impuesta; (iii) el tiempo que reste de cumplimiento de la misma; y (iv) la concurrencia de riesgos sobre la efectividad de la acción de la Justicia y la posible desprotección de las víctimas. Entre estos factores, este Tribunal ha destacado que tiene especial relevancia el referido a la duración de la pena impuesta, pues es un criterio que expresa de forma sintética la reprobación que el ordenamiento asigna al hecho delictivo —la importancia del bien jurídico tutelado, la gravedad y trascendencia social del delito— y, en consecuencia, la magnitud del interés general en su ejecución. Así, este Tribunal ha adoptado como una directriz general que la pena se sitúe por encima o por debajo de la frontera de los cinco años de prisión, por ser el límite que ha establecido el propio legislador penal para diferenciar entre las penas graves y las menos graves (art. 33 del Código penal); así, por ejemplo, AATC 52/2017, de 18 de abril, FJ 1, o 35/2017, de 27 de febrero, FJ 2. Del mismo modo, este Tribunal también ha afirmado que la suspensión de la pena privativa de libertad debe conllevar la suspensión de las penas accesorias de inhabilitación que lleven a aparejadas (AATC 52/2017, de 18 de abril, FJ 1, o 49/2016, de 29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de acuerdo con lo también defendido por el Ministerio Fiscal, concurren los requisitos que exige la jurisprudencia constitucional para otorgar la suspensión de la ejecución en cuanto a las penas privativas de libertad y las penas accesorias a las establecidas legalmente para la imposición de las penas privativas de libertad. Su ejecución puede ocasionar al recurrente perjuicios irreparables que harían perder al amparo su finalidad tanto por afectar al valor fundamental de la libertad como porque el resto de circunstancias concurrentes en el caso permiten apreciar que la suspensión no ocasiona una perturbación grave a un interés constitucionalmente protegido ni a los derechos fundamentales o libertades públicas de otra persona. Al margen de la perturbación de la función jurisdiccional que en sí mismo entraña la suspensión de la ejecución de una resolución judicial, no se acreditan riesgos ciertos sobre la efectividad de la acción de la Justicia, ya que el recurrente ha estado a plena disposición de los órganos judiciales, que no adoptaron ninguna medida cautelar de naturaleza personal durante la tramitación de la causa que permita ahora concluir que el eventual aplazamiento en el cumplimiento de la pena que implica una suspensión mientras se tramita el recurso de amparo pueda hacer ineficaz el pronunciamiento condenatorio en caso de ser rechazado el recurso de amparo. También consta que se ha hecho frente al pago de las responsabilidades civiles fijadas y hubo lugar a la aplicación de la atenuación de reparación del daño.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fin de garantizar la efectividad del cumplimiento de la pena se procederá en el plazo más breve a resolver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segunda Sentencia de la Sala de lo Penal del Tribunal Supremo núm. 983/2016, de 11 de enero de 2017, —aclarada por Auto de 7 de febrero de 2017—, dictada en el recurso de casación núm. 722-2016, exclusivamente en lo referido a las penas privativas de libertad y accesorias a las mismas impuestas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