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junio de 2017, el Procurador de los Tribunales don Antonio Esteban Sánchez, en nombre y representación de don Pablo Pavón Cadierno, y bajo la dirección del Letrado don Ignacio Gordillo Álvarez Valdés y de la Letrada doña Ana Blanco Vázquez de Prada, interpuso recurso de amparo contra el Auto de la Sala de lo Penal del Tribunal Supremo de 4 de mayo de 2017, por el que se desestima el incidente de nulidad de actuaciones interpuesto contra la Sentencia núm. 983/2016, de 11 de enero de 2017 —aclaradas por Auto de 7 de febrero de 2017—, por las que se estima el recurso de casación núm. 722-2016 interpuesto contra la Sentencia de la Sección Trigésima de la Audiencia Provincial de Madrid núm. 61/2916, de 19 de febrero de 2016, dictada en el procedimiento abreviado núm. 313-2015, y se condena al recurrente por un delito de desórdenes públicos en concurso ideal con impedimento del derecho de reunión con la agravante de obrar por motivos de discriminación ideológica a la pena de prisión de dos años y diez meses con la accesoria de inhabilitación especial para el derecho de sufragio pasivo durante el periodo de la condena; por un delito de daños ocasionados en bienes de propiedad pública con la agravante de obrar por motivos discriminatorios ideológicos y la atenuante de reparación del daño a la pena de prisión de un año y un mes y multa de catorce meses con cuota diaria de 10 € y responsabilidad personal subsidiaria en caso de impago de la multa de un día de privación de libertad por cada dos cuotas de la multa no abonadas; al pago de las 2/79 partes de las costas del juicio, incluidas las de las acusaciones particulares; y al pago conjunto y solidario de responsabilidades civiles en las cantidades de 1.372,14 € y 94,2 € para dos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argumentando que de la ejecución se derivan perjuicios irreparables si se estima el recurso de amparo, siendo inexistentes los perjuicios para terceros o el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probados en que se fundamenta la condena cuya suspensión se solicita fueron que el 11 de septiembre de 2013, la Delegación del Gobierno de la Generalitat de Cataluña ante el Gobierno del Estado organizó un acto oficial para celebrar la Diada en el centro cultural Blanquerna, propiedad de la Generalitat. El acto comenzaba a las 19:30 horas y su celebración se difundió por las redes sociales. Un grupo de personas afiliadas o simpatizantes de Democracia Nacional, Falange, Nudo Patriota Español y Alianza Nacional convocó una protesta, para lo que convinieron reunirse en la puerta del citado centro. Se congregaron unas 200 personas y cuando el Delegado de la Generalitat se dirigía al atril para tomar la palabra y presentar el acto, accedió al local un grupo de las personas que estaban congregadas afuera, entre ellas el recurrente. Con la finalidad de impedir la celebración del acto, actuando de forma conjunta, accedieron en tropel a la planta a pie de calle, donde se encuentra la librería abierta al público, y rompieron la puerta automática de cristal de entrada causando daños tasados en 1.372,14 €. Desde ella descendieron por las escaleras a la planta inferior, donde se iba a desarrollar el acto, coreando “no nos engañan Cataluña es España”. El grupo se fue abriendo paso hacia el atril entre los asistentes, que se apartaban, pero en un instante empujaron y derribaron al suelo a uno de los asistentes, diputado en el Congreso de los Diputados, sin que constara que conocieran su identidad. En el estrado uno de los condenados arrojó al suelo de un manotazo la señera, otro golpeó el micrófono situado en el atril y otro de los condenados arrojó al suelo el atril, ante el que se mantenía el Delegado de la Generalitat, cuya identidad desconocía, y a él se dirigió con insultos relativos a su condición de catalán y amenazas de muerte, que le obligaron a retroceder. Otro de los asistentes fue escupido y recibió una patada. Tras poco más de un minuto, el grupo abandonó el local. Uno de sus integrantes arrojó un espray irritante que provocó picores, irritación, náuseas y otros menoscabos en los asistentes, lo que obligó a suspender el acto. Cuando el grupo estaba saliendo de la sala, otro de los condenados dio un manotazo a la cámara con la que grababa el acto un trabajador de TV3, que al impactar contra su cuerpo le obligó a efectuar un movimiento brusco que le produjo contusión postraumática en el hombro derecho, de la que curó en nueve días con una primera asistencia facultativa.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alegan, entre otros motivos, las vulneraciones del derecho a la tutela judicial efectiva (art. 24.1 CE), y a la presunción de inocencia (art. 24.2 CE), por haberse producido una agravación de la condena en segunda instancia en ausencia de inmediación y sin oír al recurrente y haberse apreciado la concurrencia del elemento subjetivo o dolo.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16 de noviembre de 2017, acordó la admisión a trámite de la demanda de amparo, apreciando que concurre en el mismo una especial trascendencia constitucional (art. 50.1 de la Ley Orgánica del Tribunal Constitucional)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la formación de pieza separada para la tramitación del incidente sobre la suspensión solicitada, concediendo al recurrente y al Ministerio Fiscal el plazo común de tres días naturales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20 de noviembre de 2017, presentó alegaciones en las que, enunciando la jurisprudencia de este Tribunal sobre el particular, interesó la suspensión de la penas privativas de libertad y accesorias de derechos. Argumenta que la denegación de la suspensión causaría al recurrente un perjuicio irreparable o de muy difícil restitución que podría hacer perder al amparo su finalidad por tratarse de unas penas que acumuladas no superan los cinco años de prisión y que no cabe apreciar una perturbación grave a los intereses generales o derechos fundamentales o libertades públicas de un tercero, más allá del genérico que toda inejecución de una resolución judicial supone, constatándose la circunstancia de arraigo a los efectos de valorarse el posible interés en sustraerse a la acción de la justicia. Por el contrario, considera que no debe accederse a suspender la condena a las penas de multa y al pago de las costas procesales por su carácter de consecuencia jurídica de carácter económico que son susceptibles de reparación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registrado el 17 de noviembre de 2017, presentó alegaciones reiterando la solicitud de suspensión por los razonamientos expresados en la demanda de amparo, si bien limitado a la condena de la pena privativa de libertad y accesoria de derechos.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analizar la solicitud de suspensión de la ejecución de la segunda Sentencia de la Sala de lo Penal del Tribunal Supremo núm. 983/2016, de 11 de enero de 2017 —aclarada por Auto de 7 de febrero de 2017—, en lo relativo a las penas privativas de libertad que se imponen al recurrente, únicas cuya suspensión ha sido solicitada. En dicha Sentencia las consecuencias jurídicas impuestas al recurrente han sido (i) la pena de prisión de dos años y diez meses con la accesoria de inhabilitación especial para el derecho de sufragio pasivo durante el periodo de la condena por la comisión de un delito de desórdenes públicos en concurso ideal con impedimento del derecho de reunión con la agravante de obrar por motivos de discriminación ideológica; (ii) la pena de prisión de un año y un mes y multa de catorce meses con cuota diaria de 10 € y responsabilidad personal subsidiaria en caso de impago de la multa de un día de privación de libertad por cada dos cuotas de la multa no abonadas por la comisión de un delito de daños ocasionados en bienes de propiedad pública con la agravante de obrar por motivos discriminatorios ideológicos y la atenuante de reparación del daño; (iii) el pago de las 2/79 partes de las costas del juicio, incluidas las de las acusaciones particulares; y (iv) el pago conjunto y solidario de responsabilidades civiles en las cantidades de 1.372,14 € y 94,2 € para dos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56.1 de la Ley Orgánica del Tribunal Constitucional (LOTC) dispone que la interposición de un recurso de amparo no suspenderá los efectos del acto o Sentencia impugnados, concretando el artículo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94/2015, de 25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Esto último sucede en las condenas a penas privativas de libertad. El carácter prevalente y especialmente preciado de este derecho impone que cualquier decisión respecto de la suspensión de la ejecución efectiva de cualquier restricción, limitación y privación del mismo deba ser adoptada con un singular cuidado y respeto al principio de proporcionalidad en atención a que “la libertad constituye un derecho cuya naturaleza convierte el perjuicio irrogado en irreparable, en caso de estimarse el amparo una vez cumplida parcial o totalmente la pena” (ATC 291/2014, de 1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ese modo, este Tribunal ha establecido que en el marco de los recursos de amparo la decisión que debe adoptar de suspensión de las resoluciones judiciales que imponen penas privativas de libertad constituye un juicio complejo en que hay que tomar en consideración diversos factores como son (i) la gravedad y naturaleza de los hechos enjuiciados en atención al bien jurídico protegido y su trascendencia social; (ii) la duración de la pena impuesta; (iii) el tiempo que reste de cumplimiento de la misma; y (iv) la concurrencia de riesgos sobre la efectividad de la acción de la Justicia y la posible desprotección de las víctimas. Entre estos factores, este Tribunal ha destacado que tiene especial relevancia el referido a la duración de la pena impuesta, pues es un criterio que expresa de forma sintética la reprobación que el ordenamiento asigna al hecho delictivo —la importancia del bien jurídico tutelado, la gravedad y trascendencia social del delito— y, en consecuencia, la magnitud del interés general en su ejecución. Así, este Tribunal ha adoptado como una directriz general que la pena se sitúe por encima o por debajo de la frontera de los cinco años de prisión, por ser el límite que ha establecido el propio legislador penal para diferenciar entre las penas graves y las menos graves (art. 33 del Código penal); así, por ejemplo, AATC 52/2017, de 18 de abril, FJ 1, o 35/2017, de 27 de febrero, FJ 2. Del mismo modo, este Tribunal también ha afirmado que la suspensión de la pena privativa de libertad debe conllevar la suspensión de las penas accesorias de inhabilitación que lleven a aparejadas (AATC 52/2017, de 18 de abril, FJ 1, o 49/2016, de 29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 acuerdo con lo también defendido por el Ministerio Fiscal, concurren los requisitos que exige la jurisprudencia constitucional para otorgar la suspensión de la ejecución en cuanto a las penas privativas de libertad y las penas accesorias a las establecidas legalmente para la imposición de las penas privativas de libertad. Su ejecución puede ocasionar al recurrente perjuicios irreparables que harían perder al amparo su finalidad tanto por afectar al valor fundamental de la libertad como porque el resto de circunstancias concurrentes en el caso permiten apreciar que la suspensión no ocasiona una perturbación grave a un interés constitucionalmente protegido ni a los derechos fundamentales o libertades públicas de otra persona. Al margen de la perturbación de la función jurisdiccional que en sí mismo entraña la suspensión de la ejecución de una resolución judicial, no se acreditan riesgos ciertos sobre la efectividad de la acción de la Justicia, ya que el recurrente ha estado a plena disposición de los órganos judiciales, que no adoptaron ninguna medida cautelar de naturaleza personal durante la tramitación de la causa que permita ahora concluir que el eventual aplazamiento en el cumplimiento de la pena que implica una suspensión mientras se tramita el recurso de amparo pueda hacer ineficaz el pronunciamiento condenatorio en caso de ser rechazado el recurso de amparo. También consta que se ha hecho frente al pago de las responsabilidades civiles fijadas y hubo lugar a la aplicación de la atenuación de reparación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fin de garantizar la efectividad del cumplimiento de la pena se procederá en el plazo más breve a resolver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