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27 de noviembre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5108-2016, promovido por don Nicolás Sauveur Tixeront Castellano, representado por la Procuradora de los Tribunales doña Raquel Gómez Sánchez y asistido por el Letrado don Marino Turiel Gómez, contra el Auto del Juzgado de Primera Instancia núm. 1 de Alcobendas de 19 de julio de 2016, desestimatorio del incidente de nulidad de actuaciones promovido en el juicio verbal de desahucio y reclamación de rentas núm. 989-2015. Han sido parte doña María Victoria Reyner Torroella y don Gabriel Reyner Torroella, representados por el Procurador de los Tribunales don Felipe Juanas Blanco y asistidos por el letrado don Eduardo Molina Sánchez y ha intervenido el Ministerio Fiscal. Ha sido Ponente la Magistrada doña María Luisa Balaguer Callejón,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27 de septiembre de 2016, la Procuradora de los Tribunales doña Raquel Gómez Sánchez, actuando en nombre y representación de don Nicolás Sauveur Tixeront Castellano,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Jaime Reyner López como arrendador, y el demandante de amparo, en calidad de arrendatario, suscribieron el 3 de agosto de 2007 un contrato de arrendamiento de vivienda en el que se recogía el interés del arrendatario en la compra de la vivienda y la causa instrumental del contrato de arrendamiento “hasta en tanto se resuelva la situación de herencia”, poniéndolo en relación con un contrato de promesa de compraventa documentado entre las mismas partes el 7 de agosto de 2007. La conexión entre ambos contratos, arrendamiento y promesa de compra, se proyectaba a todas las estipulaciones.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Doña María Victoria y don Gabriel Reyner Torroella, hijos y herederos del arrendador, promovieron contra el arrendatario, el 17 de abril de 2015, un procedimiento de desahucio por falta de pago y de reclamación de rentas y gastos debidos. A efectos de notificaciones, en la demanda se señalaron como domicilios tanto la dirección de la vivienda objeto de arrendamiento, como el domicilio de la compañía Cadmax Systems, S.L., de la que era administrador el arrendatario.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fue repartida al Juzgado de Primera Instancia núm. 64 quien, mediante Auto de 1 de junio de 2015, declaró la incompetencia territorial del juzgado, designando a los juzgados de Alcobendas como territorialmente competentes. Remitidas las actuaciones a dicho partido judicial, la demanda fue repartida al Juzgado de Primera Instancia núm. 1 de Alcobendas, donde se admitió a trámite con el núm. 989-2015.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servicio común de actos de comunicación intentó la notificación, en la vivienda arrendada, el 28 de septiembre de 2015. Al no hallar a nadie en el domicilio, la comisión judicial recogió las manifestaciones de un vecino, que afirmó que la vivienda estaba deshabitada. Ello motivó la notificación al domicilio consignado en la demanda como sede social de Cadmax Systems, S.L., por diligencia de ordenación de 15 de diciembre de 2015. La dirección consignada contenía un error en la denominación de la calle. La notificación fue, nuevamente, infructífera.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14 de enero de 2016 los demandantes presentaron dos escritos. En uno solicitaba la práctica de las diligencias de comunicación en el domicilio social de Cadmax Ingeniería, S.L., aportando la dirección de dicha empresa (mediante copia de la página web de una red social de empresas) cuyo administrador sería también el demandado. En el otro recordaba que el contrato de arrendamiento recogía expresamente un domicilio a efectos de notificación, por lo que estimaban innecesaria la comunicación a domicilios distintos, interesando en cambio que se tuviera al hoy recurrente en amparo por notificado y requerido o, subsidiariamente, se procediera a la comunicación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fechada el 20 de enero de 2016, se acordó la notificación por medio de edictos. Transcurrido el plazo del requerimiento, se acuerda la resolución del contrato de arrendamiento mediante decreto de 26 de febrero de 2016, así como el archivo del procedimiento y el traslado a la parte demandante a fin de instar, en su caso, la ejecución dineraria manteniendo la fecha preasignada para llevar a efecto el lanzamiento de la vivienda. El mismo se hizo efectivo el día 28 de abril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demandado en el juicio verbal de desahucio, y hoy recurrente en amparo, se personó en el procedimiento el 5 de mayo de 2016, solicitando testimonio de las actuaciones y promoviendo incidente de nulidad de actuaciones. Este se fundamentaba en el conocimiento efectivo por los demandantes de la falta de ocupación transitoria del inmueble, en las vicisitudes que acompañaron a la titularidad del bien tras el fallecimiento del primer arrendador y que impidieron la efectiva concreción de la compraventa, y en los errores en el domicilio aportado por los demandantes a efectos de notificación subsidiaria, que se acompañaron de falta de diligencia del órgano judicial respecto de la verificación de los datos aportados, y de la búsqueda de otros eventuales domicilios de conformidad con lo pautado en el artículo 156 de la Ley de enjuiciamiento civil (LEC). La pretensión anulatoria se sostiene en la invocación del artículo 24.1 CE, con cita de las SSTC 30/2014 y 181/2015.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órgano judicial desestimó el incidente de nulidad de actuaciones mediante Auto de 19 de julio de 2016, al entender que la forma de llevar a cabo el requerimiento en el juicio de desahucio se adecuó al artículo 440.3 LEC en la redacción dada por la Ley 4/2013, de 4 de junio, de medidas de flexibilización y fomento del mercado del alquiler de viviendas, precepto que prevé que en los casos de notificación negativa al arrendatario en los domicilios a que se refiere el artículo 155.3 LEC, se ha de practicar la notificación por edictos en el tablón de anuncios de la oficina judicial, sin necesidad de proceder a la averiguación de otros domicilios. El juzgado argumenta que del tenor literal de la ley y de la finalidad de la reforma se desprende que, en el ámbito del juicio de desahucio, no existe obligación legal de agotar los medios de averiguación del domicilio del demandando, siendo suficiente el intento en el domicilio del contrato de conformidad con lo establecido en el artículo 155.3 LEC, salvo que las partes hubiesen estipulado contractualmente otro domicilio de notificaciones. A mayor abundamiento el Auto imputa al demandado, y parte actora del incidente de nulidad, el haberse colocado en situación de indefensión al no haber notificado su ausencia del domicilio de notificaciones, ni facilitar nuevo domicilio a los actores, a pesar de conocer las controversias ligadas a la resolución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del demandante a un procedimiento con las debidas garantías y sin indefensión (art. 24.1 CE). Lamenta el recurrente en amparo que no se le notificara el procedimiento de desahucio personalmente, sino mediante edictos, a pesar de los datos que constaban en autos para facilitar su localización, poniendo énfasis en la crítica a la inexistente diligencia del juzgado a la hora de contrastar la correcta dirección del domicilio de la empresa de la que el recurrente era administrador.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esta parte que el juzgado ignoró la doctrina del Tribunal Constitucional acerca de las notificaciones procesales y, sin realizar ninguna labor de averiguación conforme a lo establecido en el artículo 156 LEC, aplicó de manera estricta las previsiones contenidas en el artículo 155.3 LEC, por remisión del artículo 440.3 LEC, sin interpretarlo a la luz de la jurisprudencia constitucional y del derecho fundamental afectado. Al limitarse a intentar la notificación en el domicilio objeto del arrendamiento y en el segundo de los aportados, que observaba un error en la denominación precisa de la calle, el órgano judicial acudió directamente a la vía edictal, sin considerar siquiera la notificación en otros domicilios, o la mera comprobación de la corrección de la dirección aportada en relación con la empresa administrada por el recurrente, validando con ello el intento fallido de notificación en el domicilio profesional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asimismo, en la demanda de amparo, que el Auto impugnado incurre en manifiesta arbitrariedad (art. 9.3 CE), y ello por no tener en cuenta las exigencias derivadas de la jurisprudencia constitucional respecto de las obligaciones del juzgado en materia de aseguramiento de los actos de notificación, particularmente relevantes en los procesos sumarios en los que las facultades de respuesta están más limitadas. La demanda cita y extracta, a los efectos de reforzar su argumentación, doctrina constitucional constante referida al proceso de ejecución hipotecaria (STC 28/2010, de 27 de abril) o a los procedimientos arrendaticios (SSTC 30/2014, de 24 de febrero, y 181/2015, de 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con la solicitud de que se declare vulnerado el derecho a la tutela judicial efectiva de los actores y el restablecimiento en el mismo, con declaración de nulidad del Auto impugnado y reposición de las actuaciones al juicio verbal de desahucio núm. 989-2015, concretamente al momento en el que se les debió notificar la existencia del procedimiento, el requerimiento de pago y la citación para la eventual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reseña como motivo de especial trascendencia constitucional que justificaría la admisión a trámite del recurso de amparo, el desacato, por parte de la resolución impugnada, de la doctrina del Tribunal Constitucional sobre notificaciones en este tipo de procedimientos sumarios teniendo en cuenta, adicionalmente, la nueva legislación respecto del régimen de notificaciones aplicable al caso, normativa que no daría cobertura, a juicio de esta parte, a la interpretación realizada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Previa reclamación de las actuaciones correspondientes al procedimiento núm. 989-2015 al Juzgado de Primera Instancia núm. 1 Alcobendas, por providencia de 27 de febrero de 2017, la Sala Primera de este Tribunal acordó la admisión a trámite del presente recurso de amparo, apreciando que el mismo ofrece especial trascendencia constitucional, como consecuencia de que la doctrina de este Tribunal sobre el derecho fundamental que se alega, podría estar siendo incumplida de modo general y reiterado por la jurisdicción ordinaria o pudieran existir resoluciones contradictorias sobre el derecho fundamental [STC 155/2009, FJ 2 e)]. Asimismo, se acordó dirigir atenta comunicación al Juzgado de Primera Instancia núm. 1 de Alcobendas, a fin de que, en el plazo de máximo de diez días, emplazara a quienes hubieran sido parte en el procedimiento núm. 989-2015, excepto a la parte recurrente en amparo, para que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21 de junio de 2017, el Procurador de los Tribunales don Felipe Juanas Blanco se personó en el presente recurso, en nombre y representación de doña María Victoria y don Gabriel Reyner Torroella. Por diligencia de ordenación, de 23 de junio de 2017, se les tuvo por personados y parte en el procedimiento, acordándose, asimismo, dar vista de las actuaciones a las partes personadas y al Ministerio Fiscal, por plazo común de veinte días, para la presentación de las alegaciones que estimaran pertinentes, conforme determina el artículo 52.1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presentó sus alegaciones el 28 de julio de 2017, insistiendo en los argumentos contenidos en la demanda, y reforzando los relativos a las vulneraciones asociadas al Auto resolutorio del incidente de nulidad, en tanto que este dota de validez el intento de comunicación en un domicilio inexistente.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31 de julio de 2017 se registró el escrito de alegaciones de doña María Victoria y don Gabriel Reyner Torroella, interesando la desestimación del recurso de amparo. Esta parte considera relevante la conducta incumplidora del recurrente en amparo previa al procedimiento de desahucio, atribuyéndole la finalidad de forzar una reducción sustancial en el precio de compra acordado con su fallecido padre; refieren haber mantenido diversas reuniones para resolver otras exigencias económicas del arrendatario, derivadas de obras acometidas en el inmueble, y consideran que ha actuado de mala fe, pues tenía conocimiento cabal de la posibilidad de que se ejercitaran acciones frente a él, teniendo en cuenta el incumplimiento continuado en el pago de las rentas, y a pesar de ello no ofreció una dirección alternativa para la formalización de notificaciones una vez dejó de vivir en el inmueble objeto del pleito. El escrito de alegaciones insiste en el hecho de que el domicilio principal pactado para las notificaciones era el de la finca objeto de arrendamiento, mientras que el de la sede social de Cadmax Systems, S.L., se propuso con carácter alternativo para asegurar el buen fin de los actos de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esta parte, la aplicación de la doctrina constitucional al presente supuesto no permite entender que en este caso haya existido indefensión del recurrente en amparo, al concurrir en su actuación mala fe, culpa o negligencia. Entienden que no puede imputarse al órgano judicial actuación alguna que menoscabe sus propios derechos y, si bien reconocen el carácter subsidiario de la comunicación por edictos, que solo puede utilizarse cuando se hayan agotado los medios de averiguación del domicilio del demandado, consideran que, en el supuesto analizado, se está en el caso de la excepción contemplada en las SSTC 30/2014 y 181/2015, esto es en el supuesto de que la situación de incomunicación puede ser imputable a la propia conducta del afectado, por haberse situado voluntaria o negligentemente al margen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31 de julio de 2017, solicitando la estimación del amparo por vulneración del derecho a la tutela judicial efectiva del recurrente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advierte en su escrito sobre la dualidad de alegaciones de la demanda, puesto que la vulneración que denuncia no se imputa al Auto desestimatorio del incidente de nulidad, sino a la decisión de acudir a la notificación por edictos, que es previa y anterior en el procedimiento. Por su parte, en relación con el Auto impugnado, se identifica la denuncia con la vulneración del derecho a la tutela judicial efectiva por concurrir una motivación errónea. A continuación el escrito de alegaciones recuerda la tesis de la STC 101/2015, de 25 de mayo, que exige atender a las circunstancias del caso concreto para decidir el orden de examen, optando por analizar los defectos denunciados en aquella resolución cuya posible declaración de nulidad provocare una retroacción mayor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el examen de las actuaciones permite concluir que, a la luz de la jurisprudencia constitucional aplicable al caso, se ha producido la vulneración del derecho a no padecer indefensión del recurrente en amparo (art. 24.1 CE). En este sentido, señala que no es determinante a estos efectos la cuestión de los errores en la identificación de la dirección del segundo de los domicilios aportados por los recurrentes en instancia, sino la constatación de que, habiendo verificado el órgano judicial que la citación personal no había sido realizada, no respondió a su obligación de agotar las posibilidades de averiguación de otro domicilio. El Ministerio Fiscal resalta que el 14 de enero de 2014 la parte actora presentó dos escritos, uno aportando un nuevo domicilio y otro solicitando que se acudiera a la citación por edictos una vez fracasados los dos primeros intentos, y que el juzgado optó por la respuesta más formalista de las posibles, siendo esta además la que menos garantizaba el derecho de acceso al procedimiento. Precisa la Fiscalía ante el Tribunal Constitucional que no hay razón para excluir la vulneración del derecho denunciado acudiendo a la actitud del demandado en instancia, pues no consta que hubiera tenido conocimiento extraprocesal del procedimiento, así como no cabe hacerle responsable del fracaso en los intentos de notificación, ya que el señalamiento de los domicilios, con sus errores, se debió a la parte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el Ministerio Fiscal entiende que el órgano judicial no cumplió con las exigencias derivadas de la doctrina del Tribunal Constitucional y que, una vez denunciada ante el mismo la posible vulneración de los derechos a través del incidente de nulidad de actuaciones, rechazó declarar la nulidad de lo actuado, impidiendo así al demandado acceder al proceso y ejercer en el mismo los derechos que le correspondían. Los razonamientos expuestos por el órgano judicial al resolver el incidente de nulidad acuden a una interpretación que no es conforme con la doctrina mantenida por el Tribunal Constitucional, porque presentan la comunicación por edictos como obligatoria, y porque la finalidad de la reforma procesal en que se apoyan no está reñida con salvaguarda del derecho fundamental a la plena tutela judicial efectiva. Con cita de la STC 181/2015, de 7 de septiembre, referida a la reforma de 2009 que afectó al proceso arrendaticio, el Fiscal manifiesta que el razonamiento allí contenido es trasladable al presente recurso, puesto que las reformas de 2011 y 2013 que han afectado a este tipo concreto de procedimiento, no alteran ni modifican la doctrina recogida en el fundamento jurídico 5 de la sentencia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noviembre de 2017, se acordó señalar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de amparo es el Auto del Juzgado de Primera Instancia núm. 1 de Alcobendas, que desestimó, el 19 de julio de 2016, el incidente de nulidad de actuaciones promovido en el juicio verbal de desahucio y reclamación de rentas seguido contra el recurrente. El Auto impugnado valida la notificación por edictos realizada en el juicio verbal, acto de notificación al que el recurrente imputa la lesión de su derecho a un proceso con todas las garantías (art. 24.1 CE) y a la tutela judicial efectiva sin indefensión (art. 24.1 CE), sumando a esta denuncia la incursión en error patente del órgano judicial que valida, mediante el Auto impugnado y frente a la jurisprudencia constitucional relativa a los actos de comunicación procesal, dicha notificación por edictos (art. 24.1 CE). Por su parte, el Fiscal ha solicitado la estimación del amparo, por entender producida la lesión denunciada por el demandante, mientras que se ha opuesto al mismo la representación de doña María Victoria y don Gabriel Reyner Torroella, quienes consideran inexistente la lesión, al ajustarse la actuación del juzgado a las normas procesales y haber actuado el demandante de amparo con mala fe, culpa o negligencia.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providencia de esta Sala de 27 de febrero de 2017 acordó la admisión a trámite del presente recurso de amparo, apreciando que el mismo ofrece especial trascendencia constitucional, como consecuencia de que la doctrina de este Tribunal sobre el derecho fundamental que se alega podría estar siendo incumplida de modo general y reiterado por la jurisdicción ordinaria, o pudieran existir resoluciones contradictorias sobre el derecho fundamental [STC 155/2009, FJ 2 e)]. La opción por este motivo de especial trascendencia merece ser explicada, antes de entrar al análisis de fondo de la pretensión deducida por el recurrente, para hacer reconocibles los criterios que han sido empleados al efecto, y ello como respuesta a las exigencias de certeza y buena administración de justicia a que debe sujetarse este Tribunal (STEDH de 20 de enero de 2015, caso Arribas Antón c. España, §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de amparo, como se ha expuesto, se cuestiona la respuesta del órgano judicial cuyas resoluciones se impugnan, a su deber de velar por la correcta ejecución de los actos de comunicación procesal, y a su obligación de asegurarse de que dichos actos sirvan al propósito de garantizar que la parte sea oída en el proceso, comportando ello la exigencia del emplazamiento personal de los afectados, cuando sea posible, y la consiguiente limitación del empleo de la notificación por edictos a aquellos supuestos en los que no conste el domicilio de quien haya de ser emplazado o bien se ignore su paradero (en este sentido, STC 131/2014, de 21 de julio, FJ 4). Esta cuestión ha sido objeto de numerosos pronunciamientos de este Tribunal, en un sentido siempre coincidente, de modo que se ha generado una doctrina constitucional de necesario acatamiento por los órganos judiciales. Confirman esta línea jurisprudencial las SSTC 106/2017, de 18 de septiembre; 6/2017, de 16 de enero; 5/2017, de 16 de enero; 200/2016, de 28 de noviembre; 151/2016, de 19 de septiembre; 150/2016, de 19 de septiembre; 181/2015, de 7 de septiembre; 89/2015, de 11 de mayo; 169/2014, de 22 de octubre; 137/2014, de 8 de septiembre; 131/2014, de 21 de julio; 126/2014, de 21 de julio; 59/2014, de 5 de mayo; 30/2014, de 24 de febrero, o 122/2013, de 20 de mayo, limitándonos a citar sólo los pronunciamientos que resuelven recursos planteados tras la reforma de la Ley de enjuiciamiento civil (LEC) operada por la Ley 13/2009, de 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análisis de las quejas articuladas en la demanda, ha de efectuarse una consideración previa para la correcta delimitación del objeto del presente pronunciamiento. Consideración que fue efectuada, en términos prácticamente idénticos, en el fundamento jurídico 2 de las SSTC 181/2015, de 7 de septiembre, y 30/2014, de 24 de febrero, resoluciones ambas que estiman sendos recursos de amparo que planteaban vulneraciones y supuestos fácticos altamente coincidentes con los que ahora se traen a nuestro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las quejas aducidas por el recurrente parecen plantearse dos infracciones del derecho a la tutela judicial efectiva. Una, derivada de la falta de diligencia del órgano judicial en el juicio verbal por desahucio, que obedece al incumplimiento de los deberes de intentar la notificación personal al demandado, y de realizar las labores de averiguación que se contemplan en el artículo 156 LEC. Otra, referida a la existencia de un error con relevancia constitucional en la motivación del Auto impugnado, en la medida en que el órgano judicial dio por buena la notificación al domicilio profesional del recurrente en amparo, sin reparar en el hecho de que la dirección donde se intentó la notificación era una dirección errónea.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entiende esta Sala que ambas quejas son reconducibles a la denuncia de la falta de diligencia del órgano judicial, en orden a cumplir con su responsabilidad de procurar el emplazamiento o citación personal del demandado antes de acudir a la citación por edictos, y entiende también que dicha denuncia se identifica con la de la vulneración del derecho a la tutela judicial efectiva sin padecer indefensión (art. 24.1 CE), siendo éste, precisamente, el derecho cuyo reconocimiento se pide de manera inequívoca en el petitum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queja sobre la existencia de un error fáctico con relevancia constitucional, también es tributaria de la necesaria diligencia del órgano judicial, pero no se trata de un error fáctico autónomo que sea determinante de la resolución judicial adoptada, esto es, que constituya el soporte único o ratio decidendi de la misma, sino que, simplemente, se dibuja como uno más de los elementos que ponen de manifiesto la eventual falta de cuidado del órgano judicial en el supuesto que nos ocupa, al objeto de conseguir una notificación personal que fuera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se ha manifestado ya en numerosas ocasiones, como se recuerda en el fundamento jurídico 2 de esta Sentencia, y siempre de modo coincidente, respecto de la relevancia de la correcta constitución de la relación jurídica procesal, para garantizar el derecho de defensa y el desarrollo de procesos contradictorios (art. 24 CE), siendo esencial, en dicha constitución, la adecuada formulación de los actos de comunicación del órgano judicial con las partes, en particular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3 de las SSTC 30/2014 y 181/2015, previamente citadas, se recuerda como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anteriores avalan que pueda exigirse al órgano judicial el deber de velar por la correcta ejecución de los actos de comunicación procesal, así como que se le pueda pedir que se asegure de que, dichos actos, sirven a su propósito de garantizar que la parte sea oída en el proceso. Como reitera con insistencia en nuestra jurisprudencia previa, tal posibilidad comporta “la exigencia del emplazamiento personal de los afectados y, desde otra perspectiva, la limitación del empleo de la notificación por edictos a aquellos supuestos en los que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(STC 30/2014, de 24 de febrero, FJ 3,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de la doctrina constitucional expuesta puede concluirse en el presente caso, como se hizo en los razonamientos de las SSTC 30/2014 y 181/2015, que el órgano judicial no ha desplegado la actividad que le era exigible desde la perspectiva del derecho a la tutela judicial efectiva (art. 24.1 CE), al objeto de notificar debidamente al demandante de amparo la existencia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expone en los antecedentes, en la demanda que inicia el procedimiento del juicio verbal de desahucio y reclamación de rentas, ya se hizo notar al órgano judicial la posibilidad de que la práctica de las notificaciones fuese compleja, por el riesgo de que el demandado pudiera obstaculizar la notificación en el domicilio acordado a estos efectos, a la sazón el domicilio objeto del pleito. Por esa razón, se designaron por los demandantes dos domicilios, uno coincidente con el de la vivienda objeto de arrendamiento, y otro correspondiente con la sede social de la mercantil Cadmax Systems, S.L., empresa de la que el recurrente en amparo era administrador.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como se ha descrito, acordó la práctica de la notificación, requerimiento y citación en los domicilios aportados, comenzando por el de la vivienda arrendada y después, tras resultar ésta infructuosa, acudiendo al domicilio social indicado, intento este último también fallido al ser devuelto el envío postal con la anotación “desconocido”, sin que tal anotación efectuada por el servicio de Correos, concretase si lo desconocido era el destinatario del envío, o el nombre de la calle. Los demandantes en instancia aportaron entonces una nueva dirección, en este caso la de la mercantil Cadmax Ingeniería, S.L., también administrada, aparentemente, por el recurrente en amparo. Pero el órgano judicial no tuvo en cuenta esta última, desechó de facto practicar el acto de comunicación en el nuevo domicilio aportado, y no efectuó comprobación o averiguación alguna encaminada a conocer, por sus propios medios, algún otro domicilio en el que proceder a la notificación de quien era entonces demandando y ahora se presenta ante este Tribunal como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podemos concluir que el órgano judicial no agotó todos los medios que tenía a su alcance para llevar a cabo una notificación personal, al descartar sin mayores consideraciones la citación en el domicilio aportado en un segundo momento por los demandantes, y al no efectuar una mínima labor de contraste, que no hubiera sido en absoluto compleja, en relación con la dirección exacta del domicilio social de la primera de las empresas cuyo nombre fue facilitado por los demandantes para efectuar la notificación personal. Esta última comprobación, fácilmente realizable acudiendo a cualquier base de datos de acceso público de direcciones de empresas, hubiera permitido al órgano judicial percibirse de que existía un error de transcripción del nombre de la calle facilitado por los demandantes, error fácilmente detectable, y aún más fácilmente subsanable. Este proceder contradice la correcta praxis judicial referida a la diligencia debida, y exigible desde la perspectiva del derecho a la tutela judicial efectiva sin indefensión (art. 24.1 CE), para asegurar debidamente el emplazamiento de demandante de amparo y su presencia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los datos que figuran en las actuaciones no permiten reprochar al recurrente en amparo una actitud consciente y deliberada de impedir o dificultar su localización y de entorpecer el proceso judicial. Tampoco permiten asegurar que haya tenido conocimiento extraprocesal de su existencia, o que la imposibilidad de emplazarle haya obedecido a su posible negligencia, descuido o impericia, supuestos que, como ya se expuso anteriormente, privarían de relevancia constitucional a la queja. Por todo ello, ha de concluirse que la falta de diligencia del órgano judicial, en el emplazamiento del recurrente en el procedimiento de desahucio por falta de pago y reclamación de rentas, ha vulnerado el derecho de éste a la tutela judicial efectiva sin indefensión (art. 24.1 CE), porque le ha impedido, efectivamente, personarse en el procedimiento para oponerse al desahucio.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conclusión alcanzada no cabe contraponer, como sostiene el órgano judicial en el Auto desestimatorio del incidente de nulidad aquí impugnado, que las reformas del artículo 440.3 LEC introducidas por las Leyes 37/2011, de 10 de octubre, de medidas de agilización procesal, y 4/2013, de 4 de junio, de medidas de flexibilización y fomento del mercado del alquiler de viviendas, avalen la inexorabilidad de la notificación por edictos en los supuestos de notificación negativa al arrendatario en los domicilios consignados en el artículo 155.3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redacción del artículo 440.3 LEC resultante de las reformas de 2011 y 2013, se establece, entre otros extremos, que, en los supuestos de demandas en las que se ejercite la pretensión de desahucio por falta de pago de rentas o cantidades debidas, acumulando o no la pretensión de condena al pago de las mismas, el requerimiento de desalojo o exigencia de pago, se practicará conforme prevé el artículo 161 LEC o, en su defecto, conforme determina el artículo 164 LEC. El artículo 161 LEC establece el procedimiento de notificación personal en el domicilio de la persona que deba ser requerida, teniendo en cuenta lo establecido en el artículo 155.3 LEC, referido a la determinación del domicilio a efectos de actos de comunicación. Por su parte, el último párrafo del artículo 164 LEC, determina que en los procesos que nos ocupan, se procederá a formular notificación por edictos, cuando no pudiere hallarse ni efectuar la comunicación al arrendatario en los domicilios designados en el artículo 155.3, párrafo segundo LEC. De la lectura combinada de estos preceptos deduce el órgano judicial que la imposibilidad de comunicarse personalmente con el arrendatario, en los domicilios previstos en el artículo 155.3, párrafo segundo LEC, lleva asociado el recurso inmediato a la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esta interpretación obvia el contenido de las SSTC 181/2015, FJ 4, 30/2014, FJ 5, y 122/2013, FJ 4, que avalaban la conformidad constitucional de la notificación por edictos en procesos de desahucio o reclamación de cantidades debidas, prevista en el artículo 164.4 LEC, en la redacción dada por la Ley 19/2009 y que no ha sido modificada después, siempre que se realizara una interpretación de dicho precepto secundum constitutionem, “integrando el contenido de la reforma con la doctrina de este Tribunal en cuanto a la subsidiariedad de la comunicación por edictos, la cual tiene su fuente directa en el derecho de acceso al proceso del art. 24.1 CE, de manera que la comunicación por edictos en todo procedimiento de desahucio sólo puede utilizarse cuando se hayan agotado los medios de averiguación del domicilio del deudor o ejecutado” (STC 181/2015, FJ 5, y cita de referencia allí contenida a la STC 30/2014).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pronunciamientos referidos el Tribunal sostiene que resulta contradictorio con la jurisprudencia constitucional, entender que la reforma procesal introducida por la Ley 19/2009, permite dejar a salvo los derechos del inquilino “sin necesidad de acudir a las averiguaciones de domicilios contempladas en el art. 156 LEC, resultando evidente la contradicción entre la interpretación que estaba realizando de la reforma con la doctrina constitucional en materia de emplazamientos” (STC 181/2015,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asunto resuelto por la STC 181/2015, el Tribunal afirmó que el cambio normativo introducido en el año 2009 no supone una alteración de las exigencias que se derivan de la jurisprudencia constitucional en aplicación del artículo 24.1 CE. En aquel caso, además, el Tribunal pone el acento en la necesidad de insistir en esta línea jurisprudencial “habida cuenta de que la interpretación que, tanto en el caso resuelto por STC 30/2014 como en el que aquí se enjuicia, se realiza de la reforma introducida por la Ley 19/2009 pone de relieve que algunos órganos judiciales no siguen la doctrina de este Tribunal Constitucional en materia de emplazamiento y notificaciones, y se limitan a mantener una interpretación literal y restrictiva del precepto en relación con la labor y la diligencia que deben desplegar a la hora de realizar los actos de comunicación dirigidos a quienes están llamados a ser parte en el procedimiento. Por esa razón, se considera indispensable que este Tribunal siga profundizando en la línea marcada por la STC 30/2014 para configurar un importante cuerpo de doctrina que consiga evitar la reiteración en interpretaciones de la referida reforma legal como la que ha defendido el órgano judicial en el presente asunto. Por otro lado, no hay que perder de vista la trascendencia general de la cuestión, pues, debido a la crisis económica, se ha incrementado el número de los procedimientos de desahucio que se llevan a cabo en la actualidad, en los que los órganos judiciales habrán de aplicar las previsiones del art. 155.3 LEC, en su nueva redacción, de suerte que resulta fundamental que se fijen por parte de este Tribunal una pautas interpretativas acordes con la Constitución que garanticen la intervención en defensa de sus derechos de todos los interesados, en especial de los inquilinos que se vean ante dicha situación [STC 155/2009, FJ 2 g)]” (STC 181/2015,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del artículo 440.3 LEC, en relación con los artículos 155.3 y 164 LEC, que realiza el Auto impugnado, obvia que la nueva redacción del artículo 440.3 LEC en nada modifica la previsión contenida en los artículos 155.3 y 164 LEC, y por tanto en nada altera la proyección de la jurisprudencia constitucional a estos preceptos, contenida en las SSTC 34/2014 y 181/2015, de modo que en nada debe ser precisada de nuevo una jurisprudencia suficientemente clara y consolidada. Una jurisprudencia que, debe insistirse en ello, no se vio interferida por la reforma operada por la Ley 19/2009, de 23 de noviembre, de medidas de fomento y agilización procesal del alquiler y de la eficiencia energética de los edificios y, por tanto, menos aún ha de verse afectada por una reforma que no afecta directamente al artículo 164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no podemos sino concluir que el razonamiento del Auto impugnado merece idéntica respuesta a la que se dio a los supuestos analizados en las sentencias indicadas, pues los artículos 164 y 155.3 LEC no han resultado afectados por ninguna de las reformas objeto de mención en la resolución impugnada, lo que determina que, en el presente supuesto, se ha vulnerado el derecho a la tutela judicial efectiva sin indefensión del demandante de amparo, por la falta de diligencia del órgano judicial en su obligación de agotar los medios de averiguación del domicilio real para obtener una notificación personal y efectiva, cuando, además, fueron aportados otros domicilios a los efectos de notificaciones. Los razonamientos expuestos conducen a la estimación del recurso de amparo, con declaración de nulidad del Auto impugnado y de todas las actuaciones practicadas desde la diligencia de ordenación de 20 de enero de 2016, y con retroacción de las mismas al momento anterior al dictado de la misma, al objeto de que se le comunique al recurrente la existencia del juicio de desahucio en forma compatible con el respeto al contenido del derecho fundamental a la tutela judicial efectiva sin indefensión del artículo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Nicolás Sauveur Tixeront Castellanos,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del Juzgado de Primera Instancia núm. 1 de Alcobendas el 19 de julio de 2016, dictado en el juicio de desahucio núm. 989-2015, así como de todo lo actuado a partir de la diligencia de ordenación de 20 de enero de 2016, inclusive.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diligencia de ordenación de 20 de enero de 2016, que acordó citar a la parte demandada por medio de edictos, para que se dicte nueva resolución judicial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