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11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2002-2017, promovido por el Presidente del Gobierno contra determinadas disposiciones de la Ley 7/2016, de 21 de julio, de medidas extraordinarias contra la exclusión social, de la Comunidad Autónoma de Extremadura. Ha intervenido la Asamblea de Extremadura.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abril de 2017, el Abogado del Estado, en representación del Presidente del Gobierno, interpuso recurso de inconstitucionalidad contra los artículos 2 [apartado a)], 3, 4, 5, 6, 7, 8, 9, 10 y 12.1 [primer párrafo in fine], la disposición adicional primera y el inciso final del primer párrafo de la disposición adicional segunda de la Ley 7/2016, de 21 de julio, de medidas extraordinarias contra la exclusión social, de la Comunidad Autónoma de Extremadura, publicada en el “Diario Oficial de Extremadura” núm. 141, de 22 de julio de 2016, y en el “Boletín Oficial del Estado” núm. 192, de 10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impugnación que articula el escrito de interposición del recurso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se impugnan los artículos 2 [apartado a)], 3, 4, 5, 6, 7, 8, 9 y 10, que forman parte del título II de la Ley 7/2016, que lleva por rúbrica “Universalización de la atención sanitaria en el ámbito territorial de la Comunidad Autónoma de Extremadura”. El escrito de interposición señala que dichos preceptos incurren en extralimitación competencial porque regulan materias de competencia estatal conforme a los apartados primero, segundo, decimosexto y decimoséptimo del artículo 149.1 CE, pues corresponde únicamente al Estado establecer las fórmulas legales que permitan acceder a la asistencia sanitaria pública a los extranjeros no registrados ni autorizados como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arguye lo siguiente: conforme al artículo 149.1.1 CE corresponde al Estado garantizar una unidad mínima en las condiciones de acceso al sistema sanitario; la norma autonómica, al establecer una regulación específica que determina el estatuto jurídico esencial de los extranjeros en España frente al Sistema Nacional de Salud, vulnera el artículo 149.1.2 CE, con independencia de su contenido; al permitir que el número de sujetos que pueden acceder en Extremadura a las prestaciones sanitarias con cargo a los fondos públicos sea mayor que en el resto del territorio nacional, vulnera la norma básica aplicable y, en consecuencia, el artículo 149.1.16 CE; la normativa estatal, conformada por el Real Decreto legislativo 16/2012 y el Real Decreto 1192/2012, viene exigida por el Derecho de la Unión Europea (en concreto, por el artículo 19 del Reglamento 883/2004), y trae causa de un procedimiento de infracción contra España; la norma impugnada afecta a una prestación contributiva de la Seguridad Social, por lo que se vulnera el artículo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de forma análoga, incurren en inconstitucionalidad por conexión las disposiciones adicionales primera y segunda (inciso final del primer párrafo), relativas a las “situaciones especiales de atención primaria” y a la “evaluación y seguimiento” del cumplimiento de los objetivos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se impugna el artículo 12.1, primer párrafo in fine, que regula la inembargabilidad de las ayudas económicas de apoyo social. El escrito de interposición señala que vulnera el orden de distribución de competencias previsto en el artículo 149.1.6 CE, según el cual corresponde al Estado la competencia exclusiva sobre legislación procesal, “sin perjuicio de las necesarias especialidades que en este orden se deriven de las particularidades del derecho sustantivo de las Comunidades Autónomas”. La excepción competencial que contempla el “sin perjuicio” no sería de aplicación en el presente caso, porque la Comunidad Autónoma de Extremadura carece de competencia normativa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mayo de 2017, el Pleno del Tribunal Constitucional, a propuesta de su Sección Primera,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así como a la Junta de Extremadura y a la Asamblea de Extremadura, por conducto de sus Presidentes, al objeto de que, en el plazo de quince días, pudieran personarse en el proceso y formular las alegaciones que estimaren convenientes, así como publicar la incoación del recurso en el “Boletín Oficial del Estado” y en el “Diario Oficial de Extremadura”. La incoación del recurso se publicó en el “Boletín Oficial del Estado” núm. 115, de 15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23 de mayo de 2017, la Presidenta del Congreso de los Diputados comunicó el acuerdo de la Mesa de la Cámara de personarse en el proceso y de ofrecer su colaboración a los efectos del artículo 88.1 LOTC. Otro tanto hizo el Presidente del Senado, mediante escrito registrado el día 24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9 de junio de 2017, el Letrado de la Asamblea de Extremadura, en nombre y representación de ésta, se personó en el presente recurso a efectos de notificaciones,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27 de junio de 2017, el Letrado de la Junta de Extremadura, en nombre y representación de ésta, se personó en el presente recurso y formuló diversas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cuestión previa se señala que el recurso interpuesto es extemporáneo. Si bien se interpuso en plazo frente a la Ley 7/2016, pues ésta se publicó en el “Diario Oficial de Extremadura” de 22 de julio de 2016 y el recurso se presentó el 21 de abril de 2017, se alega que la referida Ley no es sino el trasunto de la modificación parlamentaria del Decreto-ley 1/2016, de 10 de mayo, de medidas extraordinarias de exclusión social, publicado en el “Diario Oficial de Extremadura” de 11 de mayo de 2017, y cuyos artículos 3 a 10 y 12 vienen a coincidir casi literalmente con la regulación ahora impugnada. Se advierte que el Decreto-ley fue convalidado en la sesión plenaria de la Asamblea de Extremadura de 26 de mayo de 2016, y que el Reglamento de la Asamblea de Extremadura (art. 192) no exige la publicidad oficial del acuerdo de convalidación o derogación, como sí hace el artículo 151.6 del Reglamento del Congreso de los Diputados. El letrado argumenta que, conforme con la jurisprudencia del Tribunal Constitucional, el Decreto-ley convalidado se ha integrado con carácter permanente en el ordenamiento jurídico y que los derechos a las prestaciones sanitarias —al menos— de los extranjeros empadronados estaban ya reconocidos en una norma vigente en cuanto no derogada, que no puede ni debe ser impugnada en cuanto que el plazo para ello venció, no existiendo, por otra parte, norma constitucional o legal que establezca un automatismo derogatorio de los decretos-leyes con la entrada en vigor de las leyes tramitadas sucesivamente, al amparo de lo dispuesto en el artículo 86.3 CE o, en este caso, al amparo de lo prevenido en el artículo 33.4 del Estatuto de Autonomía de Extremadura (EAE). Se concluye que, si la norma que confiere el marco regulador fue publicada el 11 de mayo de 2017, el recurso es extemporáneo y, por ello, debe inadmitirse.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el defectuoso modo en que se habría propuesto el recurso. El recurso se ha planteado por el Abogado del Estado por orden de la Vicepresidenta del Gobierno actuando en suplencia del Presidente del Gobierno, el cual, como se indica en el escrito de interposición, se encontraba en viaje oficial en Sevilla. Se razona que la facultad prevenida en los artículos 162.1 a) CE y concordantes de la Ley Orgánica del Tribunal Constitucional tiene naturaleza institucional y, como tal, propia e indeclinable, esto es, no delegable o transferible, sin perjuicio de que, como señala la STC 71/2014, pueda operar la suplencia en cuanto no haya desplazamiento de la competencia. La suplencia regulada en el artículo 13 de la Ley 50/1997, de 27 de noviembre, del Gobierno, tiene causas tasadas, precisamente para deslindarla de figuras traslativas, entre otras la delegación o la desconcentración, y en el caso presente se basa en la ausencia. El letrado sostiene que la aplicación de la suplencia era, en este caso, difícilmente sostenible porque, a diferencia del supuesto de hecho de la STC 71/2014 en el que el Presidente estaba ausente del territorio nacional, en el presente caso estaba en Sevilla, dentro del territorio estatal en todo el cual el Presidente ejerce sus competencias. Si actos institucionales pueden suscribirse por el Jefe del Estado, con el refrendo del propio Presidente del Gobierno, en lugares tan exóticos como la embajada española ante la República Popular China en Pekín (“Boletín Oficial del Estado” núm. 155, de 29 de junio de 2007, pág. 28201) por considerar que conforme al derecho internacional las embajadas gozan de extraterritorialidad, en términos latos son territorio español, mucho más puede predicarse cuando el Presidente se encuentra en la capital de una Comunidad Autónoma. Si leyes y reales decretos pueden sancionarse en Baqueira Beret o Marivent, sin que hacerlo allí suponga ausencia del titular del acto o del refrendo, difícilmente se puede admitir que firmar la orden de interposición del recurso aceptando la propuesta del Gobierno pueda justificarse en este caso por la ausencia, ya que hemos de entender que la competencia del Presidente del Gobierno se extiende a todos los puntos del territorio nacional. Adicionalmente se alega que el plazo para la impugnación vencía el 22 de abril de 2017, que por ser sábado era inhábil conforme al cómputo procesal, habilitando el día 24 de abril, fecha en la que no se justifica la ausencia, además de todos los días previos para poder formalizar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tercer bloque de alegaciones versa sobre la asistencia sanitaria dispensable a los extranjeros, que se considera el núcleo esencial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rechaza la invocación del artículo 149.1.1 CE, porque el ámbito de aplicación de la norma impugnada no se dirige a los españoles, sino a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rechaza la alusión al artículo 149.1.2 CE, pues nos encontramos en la materia sanitaria en la que opera la remisión del artículo 13 de la Ley Orgánica 4/2000, de 11 de enero, sobre derechos y libertades de los extranjeros en España y su integración social. Asimismo se señala que la ley autonómica impugnada circunscribe los derechos a prestar por el servicio extremeño de salud, sin que por ello les confiera el título de asegurado o beneficiario del sistema nacional de salud, ni por ello de exportador de derechos en otros países del territorio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tampoco se comparte la vulneración del artículo 149.1.17 CE por los siguientes motivos. Aun cuando por razones históricas la asistencia sanitaria se incluía dentro del concepto de seguridad social como elemento de su acción protectora, junto con las pensiones, el desempleo y otras, esa unidad conceptual se trunca por ministerio de la Constitución, al diferenciar, por un lado, el régimen público de Seguridad Social (art. 41 CE) y, por otro, el derecho a la salud (art. 43 CE). La aún vigente Ley 14/1986, de 25 de abril, general de sanidad, relaciona el derecho a la salud, no con el carácter de asegurado al que se accedía por las cotizaciones de los trabajadores y empresarios, sino como derecho personal. Como consecuencia, la financiación del sistema de salud deja de nutrirse, salvo en un mínimo porcentaje, con las cotizaciones. Desde la Ley 24/1997, de 15 de julio, de consolidación y racionalización del sistema de seguridad social, la sanidad pública no depende a nivel jurídico o económico de la Seguridad Social, pues es el Estado el que asume la financiación de la asistencia sanitaria y quien realiza las transferencias presupuestarias a las Comunidades Autónomas. Por tanto, se concluye que difícilmente puede sostenerse que nos encontremos en presencia de actuaciones de seguridad social, pues el elemento subjetivo no son nacionales, cotizantes o no, sino extranjeros. Por el contrario, la materia concernida es la asistencia social, ámbito en el que Extremadura dispone de competencia (arts. 148.1.20 CE y 8.1.27 EAE), invocando a este respecto la doctrina sentada en la STC 239/2002, de 11 de diciembre. En suma, excluidos de modo radical los extranjeros en las prestaciones sanitarias, no se produce coincidencia subjetiva alguna, sino que son medidas tendentes a evitar la exclusión social y acaso los riesgos de salud pública que puedan derivarse de una nula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se comparte la vulneración del artículo 149.1.16 CE, tanto por lo ya argumentado como por el hecho de que el párrafo primero del artículo 4 de la Ley impugnada es claro y terminante en este punto. Asimismo se afirma que “sostener en una materia prestacional que las bases del sistema no suponen un mínimo común normativo, expresión acrisolada por la jurisprudencia constitucional, sino el máximo prestacional posible, o si se quiere el único concepto aplicable excluyendo otros títulos competenciales o la modulación constitucionalmente admisible en el ámbito de las actuaciones y competencias territoriales es algo no consentido por ese Alto Tribunal, y menos en materias que por nuclear el contenido del llamado derecho social, están marcadas por el principio de mínimos, lo que debería permitir la ampliación del ámbito subjetivo y objetivo”. Por eso, en la cartera de servicios del sistema nacional de salud existen prestaciones comunes a todo el territorio nacional y otras que solo se ofrecen en determinadas comunidades, sin que ello atente contra el principio de igualdad a que se refiere el artículo 149.1.1 CE ni ningún otro. Si esto es posible desde la determinación objetiva de las prestaciones sanitarias (en sentido amplio, médicas, protésicas, farmacológicas, etc.), no puede entenderse que ello no pueda operar desde el punto de vista subjetivo, integrando a los extranjeros a los que se refiere la ley impugnada. Y debe tenerse en cuenta que las medidas estatales surgieron en una coyuntura de crisis económica innegable en 2012, como indica la exposición de motivos del Real Decreto-ley 16/2012, que, en la actualidad, según declaraciones públicas del Gobierno, está superada.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opone a la impugnación del artículo 12 de la Ley 7/2016, por vulneración de la competencia estatal sobre la legislación procesal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en primer lugar, que, según la doctrina constitucional, la duplicación de una norma estatal por una autonómica no siempre conduce a la inconstitucionalidad de la norma autonómica, pues la consecuencia puede ser una defectuosa técnica normativa, siendo a veces necesaria para la inteligencia de la norma esa duplicación. Y se indica que el propio Abogado del Estado reconoce que conforme a la legislación civil este tipo de ayudas es inembargable (art. 4 del Real Decreto-ley 9/2015, de 10 de julio, por remisión al art. 607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parte actora obvia el concepto de ayuda o subvención que establece la normativa básica, en particular los artículos 2, 14.1, 30 y 38 de la Ley 38/2003, de 17 de noviembre, general de subvenciones. Se considera que en dichos preceptos se establece una relación inescindible entre los aspectos sustantivos y procesales amparados por la norma constitucional, pues de lo que se trata es, precisamente, que a las personas en riesgo de exclusión social les llegue la ayuda para evitar la situación límite, lo que no se conseguiría si por procesos judiciales o administrativos previos o consecuentes tales ayudas pudieran tener un uso o destino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que se inadmita el presente recurso de inconstitucionalidad o, subsidiariamente, sea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10 de enero de 2018, se señaló para deliberación y votación de la presente Sentencia el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los artículos 2 [apartado a)], 3, 4, 5, 6, 7, 8, 9, 10 y 12.1 [primer párrafo in fine], la disposición adicional primera y el inciso final del primer párrafo de la disposición adicional segunda de la Ley 7/2016, de 21 de julio, de medidas extraordinarias contra la exclusión social, de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Abogado del Estado reprocha a los preceptos legales impugnados la infracción de las competencias estatales atribuidas por los apartados primero, segundo, sexto, decimosexto y decimoséptimo del artículo 149.1 CE, bien directamente bien de forma mediata, por contradecir la normativa estatal dictada a su amparo. Por su parte, la representación procesal de la Asamblea de Extremadura defiende la plena constitucionalidad de las disposiciones legales impugnadas y argumenta que la Comunidad Autónoma de Extremadura se ha mantenido dentro del ámbito de su competencia en materia de asistencia social, sin invadir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su impugnación, la Ley 7/2016 ha sido modificada por la Ley 2/2017, de 17 de febrero, de emergencia social de la vivienda de Extremadura, que le ha añadido el artículo 17 bis; modificación que, en todo caso, no afecta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cuestiones sometidas a la consideración de este Tribunal por el Abogado del Estado debemos abordar los dos defectos procesales que plantea el Letrado de la Asamblea de Extremadura, ya que, de ser atendido cualquiera de ellos, clausuraría cualquier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defecto procesal consiste en la extemporaneidad del presente recurso de inconstitucionalidad: extemporaneidad que no se fundamenta en que se hubiera presentado fuera del plazo de nueve meses previsto en el artículo 33.2 de la Ley Orgánica del Tribunal Constitucional (LOTC), sino en que fue interpuesto frente a una ley que es consecuencia de la tramitación parlamentaria de un decreto-ley, debidamente convalidado por la Asamblea autonómica, cuyos preceptos coinciden casi literalmente —se dice— con los de las disposiciones legales ahora impugnadas. El defecto alegado se acompaña de dos argumentos adicionales: las disposiciones del Decreto-ley convalidado se habrían integrado “con carácter permanente” en el ordenamiento jurídico; y ninguna norma constitucional o legal establece un “automatismo derogatorio” de los decretos-leyes con la entrada en vigor de las leyes tramitadas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se dice con estas palabras, la alegación de la extemporaneidad apunta en realidad a una especie de doctrina del acto confirmatorio de perfiles imprecisos, pues no se especifica si sería de aplicación general en la jurisdicción constitucional o, por el contrario, quedaría circunscrita a las leyes cuya existencia trae causa de la decisión de tramitar por el procedimiento legislativo el contenido de un decreto-ley previamente convalidado. Al menos en estos últimos casos —parece decirse— las disposiciones del decreto-ley no solo no quedarían derogadas automáticamente por las disposiciones coincidentes de la ley posteriormente adoptada, sino que tampoco podrían ser impugnadas indirectamente mediante recursos dirigidos exclusivamente frente a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no puede ser compartida, ni en sus presupuestos de partida ni en la consecuencia que pretende extraerse. En primer lugar, debe señalarse que la Ley 7/2016, de 21 de julio, de medidas extraordinarias contra la exclusión social, no se limita a modificar lo previsto en el Decreto-ley 1/2016, de 10 de mayo, de medidas extraordinarias contra la exclusión social, de forma que las disposiciones de este último quedaran subsistentes en todo lo no modificado por la Ley 7/2016. La consecuencia de aprobarse una nueva norma del mismo rango, mismo título y mismo objeto no puede ser otra que la sustitución de la primera por la segunda, en virtud del criterio lex posterior derogat priori, con independencia del grado de coincidencia material entre una y otra regulación. Esta es la lógica jurídica que subyace a la práctica parlamentaria de tramitar como proyecto de ley el contenido de los decretos-leyes una vez convalidados. Tan evidente resulta la sustitución normativa que se produce entre el Decreto-ley convalidado y la Ley resultante de su tramitación parlamentaria como proyecto de ley que, como ha ocurrido en el presente caso, se suele considerar innecesario disponer expresamente la derogación del Decreto-ley que se sustituye; disposición derogatoria que, en todo caso, no viene exigida por nuestro ordenamiento jurídico pues, de conformidad con lo previsto en el artículo 2 del Código civil, la derogación “se extenderá siempre a todo aquello que en la ley nueva, sobre la misma materia sea incompatible con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frente a lo que parece sostener el Letrado de la Asamblea de Extremadura, en los procesos de control de normas que se desarrollan en la jurisdicción constitucional no existe una doctrina equivalente a la del acto confirmatorio, con la pretendida consecuencia de que una disposición que no hubiese sido impugnada en plazo ya no podría ser recurrida en el futuro si fuera reproducida o incorporada a una nueva norma. Una doctrina semejante es absolutamente rechazable, no solo porque no sería compatible con la función nomofiláctica o de depuración del ordenamiento jurídico de leyes inconstitucionales encomendada a este Tribunal (SSTC 102/1995, de 26 de junio, FJ 2, y 90/1994, de 17 de marzo, FJ 2), sino también porque implicaría reconocer a las normas de rango legal no impugnadas en plazo la capacidad de derogar implícitamente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defecto procesal consiste en la falta de legitimación de la Vicepresidenta del Gobierno, en su calidad de Presidenta del Gobierno en funciones al actuar en ausencia del Presidente del Gobierno, para interponer este recurso de inconstitucionalidad, en cuanto que no cabría aplicar el régimen de suplencia a un supuesto en que, como ocurre en el presente caso, el Presidente del Gobierno se encontraba dentro del territorio nacional o, subsidiariamente, cuando al titular del órgano todavía le quedaban días hábiles para poder interponer el recurso. En otras palabras, la única modalidad de ausencia que podría fundamentar legítimamente la aplicación del régimen de suplencia y la consiguiente interposición del recurso de inconstitucionalidad por la Presidenta del Gobierno en funciones sería la que sitúa al Presidente del Gobierno temporalmente fuera de España o bien, subsidiariamente, la que se proyecta sobre todos los días hábiles subsiguientes a su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tampoco puede compartirse en ninguna de sus dos variantes. Debemos comenzar recordando que en la STC 71/2014, de 6 de mayo, FJ 2, este Tribunal tuvo ocasión de pronunciarse con cierta extensión sobre la incidencia del régimen de suplencia del Presidente del Gobierno en su facultad para interponer el recurso de inconstitucionalidad. Entonces afirmamos que “la suplencia se caracteriza por el ejercicio meramente temporal, accidental, de las funciones atribuidas a un órgano por una persona física distinta de la del titular, sin que se produzca por tanto el desplazamiento de la competencia a un órgano distinto” y que “no resulta equivalente a la delegación, ni tampoco constituye un supuesto de transmisión de la competencia, pues en definitiva el órgano que actúa sigue siendo el mismo”, y concluimos “en caso de suplencia por ausencia temporal del Presidente del Gobierno, es el mismo órgano el que actúa, es el mismo órgano el que, en este caso, interpone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 evidente, con arreglo a la citada STC 71/2014, que la Presidenta del Gobierno en funciones por ausencia temporal del Presidente del Gobierno está plenamente legitimada para interponer el recurso de inconstitucionalidad. Ahora bien, lo que el Letrado de la Asamblea de Extremadura plantea no es tanto una falta de legitimación en abstracto como una incorrecta aplicación del régimen de la suplencia, al entender que solo es posible cuando el titular del órgano se encuentra en el extranjero o bien cuando la ausencia se prolonga hasta la finalización del plazo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Constitución, que no se ocupa de la suplencia, ni el artículo 13.1 de la Ley 50/1997, de 27 de noviembre, del Gobierno, que regula la suplencia del Presidente del Gobierno en los casos de vacante, ausencia o enfermedad, ni las normas jurídicas que disciplinan la suplencia para el resto de titulares o miembros de órganos administrativos en nuestro ordenamiento jurídico (art. 13 de la Ley 40/2015, de 1 de octubre, de régimen jurídico del sector público), diferencian entre la ausencia temporal dentro y fuera de España, ni exigen que la situación de ausencia tenga una determinada duración o deba extenderse hasta la finalización del plazo en el que el titular del órgano deba ejercer la correspondiente función, facultad o potestad. La representación procesal de la Asamblea de Extremadura tampoco identifica cuál podría ser la justificación constitucional de esa diferenciación o de esa exigencia. Por lo demás, resulta evidente que, si el régimen de la suplencia solo pudiera aplicarse en el supuesto de ausencia temporal fuera de España, su utilidad práctica se reduciría enormemente; o que, alternativamente, si la situación de ausencia debiera mantenerse hasta el último día del plazo de que dispone el titular del órgano para ejercer la función, potestad o facultad correspondiente, quedaría igualmente muy mermada la eficacia de la actuación de los órganos concernidos y en la práctica se correría a menudo el riesgo de sobrepasar dichos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deben rechazarse los dos defectos procesales alegados por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inconstitucionalidad es exclusivamente competencial. Los motivos de impugnación se articulan en el escrito de interposición y se contestan en el escrito de alegaciones atendiendo a los preceptos sobre los que recaen. Nuestro enjuiciamiento seguirá la misma pauta. Así, en este fundamento jurídico analizaremos los motivos de impugnación que se dirigen frente a los artículos 2 [apartado a)], 3, 4, 5, 6, 7, 8, 9 y 10 y, por conexión, las disposiciones adicionales primera y segunda (inciso final del primer párrafo), todos de la Ley 7/2016; y en el siguiente fundamento se abordará el artículo 12.1, primer párrafo in fine,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2 [apartado a)], 3, 4, 5, 6, 7, 8, 9 y 10 forman parte del título II de la Ley 7/2016, cuya rúbrica es “Universalización de la atención sanitaria en el ámbito territorial de la Comunidad Autónoma de Extremadura”, y detallan el alcance de esa universalización, las prestaciones asistenciales y farmacéuticas incluidas, los requisitos exigidos para solicitar el acceso, el procedimiento, la asignación de centro y de médico y los supuestos de exclusión. Y las disposiciones adicionales primera y segunda (inciso final del primer párrafo), impugnadas por conexión, se refieren a las “situaciones especiales de atención primaria” y la “evaluación y seguimiento” del cumplimiento de los objetivos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presente recurso debemos centrarnos en los preceptos impugnados que determinan el alcance subjetivo y objetivo de la universalización de la atención sanitaria, pues los demás son meramente instrumentales de la regulación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alcance subjetivo, el artículo 2 establece en su letra a) que las acciones y medidas previstas en la Ley se articulan mediante “[l]a cobertura sanitaria de personas extranjeras que no tengan la condición de aseguradas ni de beneficiarias del Sistema Nacional de Salud, a través de la emisión de una tarjeta identificativa personal de acceso al sistema extremeño de salud y dentro de las competencias de la Comunidad Autónoma de Extremadura”. En el mismo sentido, el artículo 3 dispone que el objeto de la Ley es “garantizar el acceso a las prestaciones sanitarias a aquellas personas extranjeras no registradas, ni autorizadas como residentes en España y con residencia efectiva en la Comunidad Autónoma de Extremadura, que no tengan la condición de aseguradas ni de beneficiarias del Sistema Nacional de Salud, previsto en el artículo 3.5 de la Ley 16/2003, de 28 de mayo, de Cohesión y Calidad del Sistema Nacional de Salud, y que no puedan exportar el derecho a cobertura sanitaria en el sistema nacional de salud (SNS) desde sus países de origen, ni exista un tercero obligado a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alcance objetivo de la universalización, el artículo 5 dispone lo siguiente con relación a las prestaciones sanitarias: “Las personas que accedan al Servicio Extremeño de Salud en las condiciones establecidas en esta ley tendrán acceso a la totalidad de servicios, en las mismas condiciones de igualdad efectiva y calidad que el resto de usuarios del Sistema Nacional de Salud dentro del ámbito territorial de la Comunidad Autónoma de Extremadura”. Por su parte, el artículo 6.1 señala con relación a las prestaciones farmacéuticas: “La aportación en la prestación farmacéutica ambulatoria de estos usuarios será del 40 por 100 para las personas menores de 65 años y del 10 por 100 para los mayores de 65 años, con el límite mensual mínimo establecido por la legislación vigente para este último supuesto. Esta cantidad será del 10 por 100 en el caso de medicamentos sometidos a aportación reducida, con el máximo por envase que sea aplicable. Asimismo, se dispondrán los mecanismos adecuados para que las personas que no pueden pagar dicho porcentaje puedan acceder a dicha prestación farmacéutica”. Finalmente, en el caso de las prestaciones ortoprotésicas, el artículo 6.2 establece que “las personas incluidas en el ámbito de aplicación de la presente ley accederán en las mismas condiciones que se establezcan para el resto de usuarios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dichos preceptos incurren en extralimitación competencial porque regulan materias de competencia estatal conforme a los apartados 1, 2, 16 y 17 del artículo 149.1 CE, pues corresponde únicamente al Estado establecer las fórmulas legales que permitan acceder a la asistencia sanitaria pública a los extranjeros no registrados ni autorizados como residentes en España. Por su parte, el Letrado de la Asamblea de Extremadura rechaza cada una de esas vulneraciones competenciales y considera que los preceptos impugnados constituyen ejercicio legítimo de la competencia autonómica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problema planteado en el presente recurso de inconstitucionalidad ya ha sido resuelto por este Tribunal en la STC 134/2017, de 16 de noviembre, en la que nos pronunciamos acerca de si en el Sistema Nacional de Salud, establecido para todo el territorio del Estado, el derecho de acceso a la cartera de prestaciones sanitarias debe tener el mismo nivel de cobertura subjetiva, doctrina que ha sido reiterada en la STC 145/2017, de 14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134/2017 consideramos que una regulación autonómica similar a la aquí impugnada se encuadraba en la materia de sanidad. Teniendo en cuenta la similitud de su fin y contenido, el mismo encuadramiento competencial se debe aplicar al primer grupo de preceptos impugnados de la Ley 7/2016, sin que, en consecuencia, sea necesario examinar la incidencia de los demás títulos competenciales estatales invocados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situarse la controversia en el ámbito sanitario, en la que el Estado dispone de la competencia exclusiva para las bases y la coordinación general (art. 149.1.16 CE) y a las Comunidades Autónomas, de acuerdo con sus Estatutos, les corresponde el desarrollo legislativo y la ejecución, resulta plenamente trasladable lo que la citada STC 134/2017 señaló en su fundamento jurídico 5 sobre el cambio introducido por el Real Decreto-ley 16/2012 en la configuración de las bases estatales en el ámbito sanitario y sus correspondientes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delimitar, conforme al mencionado sistema de bases, quién tenga derecho a la prestación sanitaria, las diferentes Comunidades Autónomas, en cuanto administraciones sanitarias que tienen a su cargo el desarrollo normativo y la función ejecutiva de la prestación sanitaria, hayan de adecuar necesariamente sus regulaciones a los conceptos de asegurado y de beneficiario en la forma y con los límites configuradores que establece aquella normativa estatal básica, de tal manera que no puedan extender el ámbito subjetivo de la relación prestacional más allá de los límites que configura el art. 3 de la Ley 16/2003, en la redacción operada por el art. 1.1 del Real Decreto-Ley 16/2012, que únicamente contempla como supuesto residual, al margen de los determinados por los conceptos de asegurado y beneficiario, el de la suscripción de un convenio especial en el que, de modo individual, quién pretenda obtener el acceso a la prestación de asistencia sanitaria, deba concertarlo con la administración sanitaria correspondiente mediante el pago de una contraprestación o cuota (art. 3.5 de la Ley 16/2003, en la redacción introducida por el art. 1.1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normativa básica estatal cierra toda posibilidad a las normas autonómicas de desarrollo para configurar un sistema de acceso a las prestaciones sanitarias que no atienda a los conceptos de asegurado o de beneficiario que han establecido las bases recogidas en el tantas veces citado art. 3 de la Ley 16/2003, a excepción del supuesto residual de la suscripción del convenio especial previsto en el apartado 5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artículo 3 de la Ley 16/2003, de 28 de mayo, de cohesión y calidad del Sistema Nacional de Salud, en la redacción introducida por el artículo 1.1 del Real Decreto-ley 16/2012, diseña una nueva configuración de las bases en el ámbito sanitario. Dicho precepto estatal garantiza la asistencia sanitaria en España, con cargo a fondos públicos, a través del Sistema Nacional de Salud, a aquellas personas que ostenten la condición de asegurado. Según el apartado primero tienen la condición de asegurado: los ciudadanos de nacionalidad española o los extranjeros afiliados a la Seguridad Social como trabajadores por cuenta ajena o propia, en situación de alta o asimilada al alta; los pensionistas del Sistema de Seguridad Social; los perceptores de cualquier otra prestación periódica de la Seguridad Social (incluyendo la prestación y el subsidio de desempleo) y los inscritos en las oficinas de trabajo, una vez que hayan agotado la prestación o el subsidio de desempleo. El apartado tercero del mismo artículo 3 de la Ley 16/2003 amplía el colectivo de personas que pueden acceder a la condición de asegurado, aunque no cumplan ninguno de los requisitos anteriores, a quienes tengan la nacionalidad española o de algún otro Estado de la Unión Europea, del Espacio Económico Europeo o de Suiza, y los extranjeros titulares de una autorización para residir en territorio español, siempre y cuando no superen el límite de ingresos que se determine reglamentariamente. El apartado cuarto extiende la cobertura a personas que tampoco mantienen una vinculación personal directa con el Sistema de la Seguridad Social, como son los “beneficiarios”, categoría que comprende a los cónyuges y a las personas con una relación asimilada jurídicamente; a los excónyuges a cargo del asegurado; a los descendientes y personas asimiladas que sean menores de 26 años o que tengan una discapacidad de grado igual o superior al 65 por 100. El apartado quinto prevé el acceso a las prestaciones sanitarias de todas las personas que no tengan la condición de asegurado o de beneficiario mediante la correspondiente contraprestación o pago de una cuota derivada de la suscripción de un convenio especial (regulado por el Real Decreto 576/2013, de 26 de julio). Finalmente, en el apartado sexto se mantiene el régimen específico de gestión indirecta de la asistencia sanitaria para las personas titulares o beneficiarias de los regímenes especiales de la Seguridad Social gestionados por diversas mutualidades.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afirmamos en la STC 134/2017 y reiteramos en la STC 145/2017, la determinación de la condición de asegurado y beneficiario del Sistema establecida en el artículo 3 de la Ley 16/2003, cumple la doble exigencia de ser formal y materialmente básica, pues se encuentra recogida en una norma con rango de ley y tal determinación ha sido considerada por la doctrina de este Tribunal como materialmente básica (entre otras, SSTC 136/2012, de 19 de junio, FJ 5, y 63/2017, de 25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establecido el carácter básico, tanto formal como material, de la normativa estatal, hemos de determinar, prosiguiendo con la segunda de las condiciones que son propias de un examen de constitucionalidad mediata como el que se plantea en el presente proceso, si el reconocimiento en la Ley impugnada del derecho de acceso a las prestaciones sanitarias de una serie de personas que no tienen la condición de asegurados o beneficiarios según la normativa básica estatal entra o no en contradicción efectiva e insalvable por vía interpretativa con la norma básica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como ya hemos señalado, los artículos 2 a) y 3 de la Ley 7/2016 de la Asamblea de Extremadura extienden el acceso a las prestaciones sanitarias a las personas extranjeras no registradas ni autorizadas como residentes en España y con residencia efectiva en la Comunidad Autónoma de Extremadura, que no tengan la condición de aseguradas ni de beneficiarias del Sistema Nacional de Salud y que no puedan exportar el derecho a cobertura sanitaria en el Sistema Nacional de Salud desde sus países de origen, ni exista un tercero obligado a pago. De este modo, de forma expresa, lo que lleva a efecto esta norma es una ampliación de la cobertura sanitaria en el ámbito subjetivo de las prestaciones no contemplado por la normativa estatal, que, como hemos señalado, incluye entre los sujetos que tienen la condición de asegurados a los extranjeros titulares de una autorización para residir en territorio español, pero no a los que no están registrados ni autorizados como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no atender al criterio de lo básico establecido en la norma estatal, los artículos 2 a) y 3 de la Ley 7/2016 deben declararse inconstitucionales y nulos por vulneración del artículo 149.1.16 CE. Igualmente y por idéntico motivo deben declararse inconstitucionales y nulos los artículos 4, 5, 6, 7, 8, 9 y 10 y la disposición adicional primera, ya sea por determinar las concretas prestaciones sanitarias a las que, en contravención de las bases estatales, tendrían acceso las personas mencionadas en los artículos 2 a) y 3, ya por establecer normas instrumentales para regular dicho acceso o evaluarlo. En cambio, no procede declarar la inconstitucionalidad y nulidad del —también impugnado— inciso “así como la posible utilización inadecuada del acceso al Sistema Extremeño de Salud” del párrafo primero de la disposición adicional segunda, pues una vez depurada la Ley 7/2016 de los aspectos que contradicen las bases estatales, su previsión no plantea ya tacha de inconstitucionalidad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otro precepto impugnado es el artículo 12.1, primer párrafo in fine, que establece la inembargabilidad de unas ayudas extraordinarias de apoyo social para contingencias.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señala que la previsión de la inembargabilidad de las referidas ayudas vulnera el orden de distribución de competencias previsto en el artículo 149.1.6 CE, según el cual corresponde al Estado la competencia exclusiva sobre legislación procesal, sin que sea aplicable la excepción relativa a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la Asamblea de Extremadura no discute el carácter procesal de la norma impugnada, si bien rechaza que se vulnere el artículo 149.1.6 CE con dos argumentaciones alternativas: que la norma autonómica sería una lex repetita de normas estatales o bien que se justificaría en una competencia sustantiva autonómica, lo que le permitiría ampararse en la excepción a la que se refiere la mencionada disposición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el criterio coincidente de las partes y considera que la norma impugnada se encuadra en la materia de legislación procesal. La anterior constatación nos sitúa, por tanto, en el ámbito del artículo 149.1.6 CE. En consecuencia, lo que a continuación debemos dilucidar es si concurre alguna de las dos situaciones a las que alude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Comenzaremos indagando si la norma impugnada puede considerarse, como aduce el Letrado autonómico, una inocua reiteración de una norma procesal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doctrina de este Tribunal ha establecido que “la mera reiteración de reglas procesales generales en la legislación autonómica no hace buena, sin más, una tal previsión” (SSTC 71/1982, FJ 20, y 173/1998, de 23 de julio, FJ 16), esta proscripción de la reiteración o reproducción de normas procesales por el legislador autonómico (leges repetitae) no es absoluta, y hemos admitido la reiteración cuando solo persigue dotar de sentido o inteligibilidad al texto normativo aprobado por el Parlamento autonómico dentro de sus competencias (STC 47/2004,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escrutinio requiere comprobar primero si efectivamente existe una norma procesal general de la que la impugnada pueda considerarse reiteración. Solo si se verifica la concurrencia de ese presupuesto, deberemos examinar si se cumple el requisito de que la finalidad de la reiteración se reduzca a dotar de sentido o inteligibilidad a la regulación aprobada por el legislador autonómico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sociales no encajan en ninguno de los supuestos de bienes absolutamente inembargables que contempla el artículo 605 de la Ley de enjuiciamiento civil (LEC). Tampoco han sido declaradas inembargables por una disposición legal específica del Estado, dentro o fuera de dicha Ley. La norma procesal general más próxima a lo previsto por la norma autonómica impugnada es la que en el artículo 607 de la Ley de enjuiciamiento civil regula la inembargabilidad del salario, sueldo, pensión, retribución o equivalente. Este precepto determina que dichas rentas son inembargables cuando no excedan de la cuantía señalada para el salario mínimo interprofesional y que, cuando lo superen, se embargarán conforme a una determinada escala que allí se especifica. Si bien no resulta claro si la ayuda social regulada en el artículo 12 de la Ley 7/2016 podría subsumirse en el concepto de salario, sueldo, pensión, retribución o equivalente pues consiste en un pago único o si, alternativamente, su regulación podría serle aplicada de forma analógica, resulta indiscutible que la regla de la inembargabilidad que contiene la norma impugnada es incondicional y absoluta y no atiende a los límites económicos que prevé el artículo 607 LEC. En consecuencia, no puede afirmarse que la norma autonómica sea mera reiteración de una norma procesal general. Solo el legislador estatal puede precisar, delimitar o ampliar el alcance de las normas procesales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Constatado que no es una mera reiteración de normas procesales generales, queda comprobar si la norma impugnada constituye ejercicio de la competencia procesal autonómica. De acuerdo con el artículo 149.1.6 CE, la legislación procesal constituye una competencia general del Estado y la competencia atribuida a las Comunidades Autónomas por ese precepto constitucional es de orden limitado, pues está circunscrita a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47/2004, de 25 de marzo, este Tribunal tuvo ocasión de pronunciarse con detenimiento sobre el alcance de la competencia autonómica en el ámbito procesal y la metodología que debe seguirse para enjuiciar las controversias competenciales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Tribunal se pronunció sobre el alcance de esa competencia autonómica en estos términos: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éstas” (STC 47/2004,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nuestra consolidada doctrina, no basta con que la norma procesal autonómica represente una innovación o una mejora de la legislación procesal para una Comunidad Autónoma, si no viene justificada por una especialidad del derecho sustantivo autonómico (en este sentido SSTC 123/1988, de 23 de junio, FJ 2; 47/2004, FJ 15; 243/2004, de 16 de diciembre, FJ 6; 135/2006, de 27 de abril, FJ 2 e); 31/2010, de 28 de enero, FJ 27, y 21/2012, de 16 de febrero, FFJJ 7 y 9). Le 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47/2004, FJ 4, y 21/2012, FJ 7). Teniendo presente que la necesidad a que se refiere la cláusula competencial del artículo 149.1.6 CE “no puede ser entendida como absoluta, pues tal intelección del precepto constitucional dejaría vacía de contenido y aplicación la habilitación competencial que éste reconoce en favor de las Comunidades Autónomas” (STC 47/2004,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el punto de vista metodológico, la citada STC 47/2004 (FJ 5) señaló que deben completarse tres operaciones para aplicar la salvedad competencial contenida en el artículo 149.1.6 CE y dilucidar si una norma procesal autonómica constituye o no una “necesaria especialidad” procesal que encuentra legitimidad constitucional en el artículo 149.1.6 CE: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y, finalmente,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esa doctrina al enjuiciamiento de la norma impugnada, debemos señalar, en primer lugar, que el derecho sustantivo autonómico viene conformado en el presente caso por las normas ordenadoras de la ayuda social extraordinaria que contempla el artículo 12 de la Ley 7/2016. En segundo lugar, debemos destacar que la norma autonómica no introduce propiamente una especialidad, sino que modifica, ampliándola, una categoría jurídica relevante en el ámbito procesal y, por tanto, regulada por el derecho procesal general, como es la de los bienes inembargables. En tercer lugar, esa ampliación no se conecta de forma directa con una peculiaridad del derecho sustantivo de la Comunidad Autónoma. La representación procesal de la Asamblea de Extremadura no ha ofrecido justificación alguna de la eventual necesidad de una especialidad procesal en este ámbito con respecto a las normas procesales generales. Esa necesidad tampoco se deduce de la propia Ley 7/2016. En suma, la norma impugnada no puede considerarse amparada en la competencia autonómica en materia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declarar la inconstitucionalidad y nulidad del inciso “Estas ayudas tienen el carácter de inembargables” del párrafo primero del artículo 12 de la Ley 7/2016, por invadir el ámbito competencial reservado al Estado por el artículo 149.1.6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la inconstitucionalidad y nulidad de los artículos 2 [apartado a)], 3, 4, 5, 6, 7, 8, 9 y 10, el inciso “Estas ayudas tienen el carácter de inembargables” del párrafo primero del artículo 12.1 y la disposición adicional primera de la Ley 7/2016, de 21 de julio, de medidas extraordinarias contra la exclusión social, de la Comunidad Autónoma de Extremadura.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Juan Antonio Xiol Ríos, don Cándido Conde-Pumpido Tourón y la Magistrada doña María Luisa Balaguer Callejón a la Sentencia dictada en el recurso de inconstitucionalidad núm. 2002-2017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parcialmente de la fundamentación y del fallo de la Sentencia recaída en el recurso de inconstitucionalidad núm. 2002-2017, interpuesto por el Presidente del Gobierno contra la Ley de la Asamblea de Extremadura 7/2016, de 21 de julio, de medidas extraordinarias contra la exclusión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compartimos lo argumentado en el fundamento jurídico 3 ni la consecuente declaración de inconstitucionalidad y nulidad de los artículos 2 a), 3, 4, 5, 6, 7, 8, 9, y 10 y las disposiciones adicionales primera y segunda, impugnadas por conexión. En cuanto el objeto común de este bloque de preceptos es la regulación de la universalización de la asistencia sanitaria en el ámbito territorial de la Comunidad Autónoma de Extremadura, las razones de nuestra discrepancia son las mismas que han quedado detalladamente expuestas en el Voto particular formulado a la STC 134/2017, de 16 de noviembre, al que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enero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en relación con la Sentencia dictada en el recurso de inconstitucionalidad núm. 2002-2017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emito este Voto particular discrepante porque entiendo que la Ley 7/2016, de 21 de julio, de la Asamblea de Extremadura, sobre medidas extraordinarias contra la exclusión social, por el que, entre otras materias, se regulan en los artículos 2 a) a 10 y disposición adicional primera el acceso universal a la atención y a las prestaciones sanitarias en aquella Comunidad Autónoma no debieron ser declarados inconstitucionales y nulos, por haber sido dictados en el marco de las competencias de desarrollo de la sanidad que le confieren el artículo 149.1.16 CE y el artículo 9.24 del Estatuto de Autonomía de la precitada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134/2017, de 16 de noviembre, al que me remito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enero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