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las penas privativas de libertad impuestas a los recurrentes, y las accesorias de privación del derecho de sufragio pasivo durante el tiempo de la condena, por la Sentencia de 22 de febrero de 2018, núm. 52-2018, de la Sección Primera de la Audiencia Provincial de Gipuzkoa, dictada en el rollo de apelación núm. 1183-2017.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julio de 2018, el Procurador de los Tribunales don Ignacio Argos Linares, en nombre y representación de don Ricardo Gómez Noriega, don Adrián Gómez Noriega y Transportes Gómez Noriega S.L., interpuso recurso de amparo, por vulneración de los artículos 24.1 y 24.2 CE, contra la Sentencia de 22 de febrero de 2018, núm. 52-2018, de la Sección Primera de la Audiencia Provincial de Gipuzkoa, que revocó la Sentencia absolutoria dictada en primera instancia por el Juzgado de lo Penal núm. 3 de Donostia en el procedimiento abreviado núm. 42-2017, condenando a las personas físicas recurrentes en amparo, como coautores de un delito contra los derechos de los trabajadores del artículo 311.1 del Código penal, a la pena de dos años y seis meses de prisión, inhabilitación especial para el ejercicio del derecho de sufragio pasivo durante la duración de la condena, diez meses de multa y el abono de una indemnización por los daños y perjuicios causados, y a la sociedad recurrente como responsable civil subsidiario del abono de ésta última. Igualmente se dirige el recurso contra el Auto de 4 de junio de 2018 del mismo órgano judicial, que desestimó el sucesivo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solicitaba por otrosí, ex artículo 56 de la Ley Orgánica del Tribunal Constitucional (LOTC), la suspensión de la ejecución de la pena de prisión impuesta a los demandantes de amparo, por cuanto podría causar un perjuicio tal que haría perder al presente recurso su finalidad. Se cita a ese fin el ATC 160/2017, de 21 de noviembre, y se razona que la duración de la pena impuesta se sitúa muy por debajo de la directriz general establecida por este Tribunal a la hora de decidir sobre la suspensión de la ejecución de penas de prisión (cinco años). Añade el escrito otro tipo de consideraciones, como por ejemplo que los recurrentes carecen de antecedentes penales, que tienen cargas familiares o que su ingreso en prisión podría acarrear consecuencias para las empresas que dirigen y sus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por providencia de 19 de julio de 2018, admitió a trámite el recurso de amparo y acordó la suspensión cautelar de la ejecución de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fechada el mismo día 19 de julio, dispuso el Tribunal la formación de pieza separada para la tramitación del incidente sobre la suspensión solicitada, concediendo a la parte recurrente y al Ministerio Fiscal el plazo común de tres días para que alegasen lo que estimasen pertinente sobre la petición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demandantes de amparo presentó escrito de alegaciones con fecha 26 de julio de 2018. A su parecer no sería necesario el trámite, al haberse acordado ya la medida cautelar en la providencia de 19 de julio de 2018, que ha sido ejecutada, acatada por el Juzgado de lo Penal competente y no impugnada (art. 56.4 LOTC). Por todo ello solicita que se deje sin efecto el trámite de audiencia concedido o se confirme la suspensión ya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en este Tribunal el 26 de julio de 2018, interesó la concesión de la suspensión de la pena privativa de libertad y accesorias de derechos impuestas a los recurrentes, toda vez que en otro caso podría ocasionarse a éstos perjuicios irreparables. Subraya a ese efecto que la duración de la condena a pena de prisión impuesta —dos años y seis meses— está comprendida en los márgenes que este Tribunal ha venido considerando para acceder a estas peticiones cuando se trata de penas privativas de libertad (no exceder de 5 años), no concurriendo en esta ocasión a su criterio otros elementos que lleven a alcanzar un distinto resultado, pues los recurrentes ostentan nacionalidad española, domicilio en España, arraigo y carecen de antecedentes penales, sin que provoque esa decisión tampoco una perturbación grave de los intereses generales o de los derechos fundamentales o libertades públicas de terceros. Razona que la misma suerte debe seguir la pena accesoria legal de inhabilitación especial para el ejercicio del derecho de sufragio pasivo, pues las penas accesorias quedan asociadas a la principal. En cambio, concluye, no procede la suspensión de las resoluciones recurridas en lo relativo a la parte dispositiva de contenido patrimonial.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los pedimentos de suspensión ejecutiva formulados por la representación procesal de los recurrentes en el presente amparo, procede hacer referencia a los diversos pronunciamientos de nuestro ATC 34/2016, de 15 de febrero, en el que, con cita de otras resoluciones anteriores, entre ellos el ATC 198/2014, hemos traído a colación la doctrina de este Tribunal en la materia. Así, comenzamos recordando en el fundamento jurídico 1 de aquel ATC 34/2016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expresada, entre otros, en el ATC 198/2014, de 21 de julio, de esta misma Sala, en su fundamento jurídico 1, que ‘[c]omo regla general, el apartado 1 del art. 56 de la Ley Orgánica del Tribunal Constitucional: LOTC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por lo que respecta a la suspensión de penas privativas de libertad, expusimos en el fundamento jurídico 2 del mencionado ATC 34/2016, de 15 de febrero, lo siguiente: “prosigue explicando el mencionado ATC 198/2014, de 21 de julio, en su fundamento jurídico 2: ‘[C]uando se trata de la suspensión de penas de prisión, se ha venido reiterando doctrina en virtud de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dicha doctrina, y no concurriendo las últimas excepciones dichas, procede acceder a lo solicitado, teniendo en cuenta la extensión de las penas de prisión impuestas en el caso de autos, las cuales se sitúan dentro del arco temporal en el que nuestra doctrina suele conceder la suspensión y ante el tiempo estimado para la tramitación y dictado de sentencia resolutoria de este recurso de amparo. De otro modo, el perjuicio podría considerarse irreparable, lo que haría perder gran parte, sino toda, la eficacia de un eventual fallo estimatorio del recurso; teniendo en cuenta además que no se produce ninguna perturbación grave de los intereses generales, ni la afectación a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conforme a nuestra jurisprudencia, las penas accesorias han de seguir la misma suerte que la principal (por todos, ATC 21/2014,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no procede la suspensión de las penas de multa, del pronunciamiento relativo a las costas o de las restantes disposiciones de contenido patrimonial, dado que no producen daño irreparable o de muy difícil reparación (entre tantos otros, ATC 35/2017, de 27 de febrero, FJ 4). No es posible llegar a otro resultado en este punto, pues los recurrentes no han intentado siquiera fundamentar la imposibilidad de reparación derivada de dichos pagos.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las penas privativas de libertad impuestas a los recurrentes, y las accesorias de privación del derecho de sufragio pasivo durante el tiempo de la condena, por la Sentencia de 22 de febrero de 2018, núm. 52-2018, de la Sección Primera de la Audiencia Provincial de Gipuzkoa, dictada en el rollo de apelación núm. 1183-2017.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