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recurrida y de toda actuación judicial sucesiva que pudiera tener como efecto directo o derivado la adjudicación a terceros de la finca controvertida.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febrero de 2018 tuvo entrada en el registro general de este Tribunal escrito firmado por el Procurador de los Tribunales don Manuel Ortiz de Urbina Ruiz, en nombre y representación de Maricris de Chipi, S.L., en virtud del cual interponía recurso de amparo contra la providencia de 8 de enero de 2018 del Juzgado de Primera Instancia núm. 1 de Cieza en autos de ejecución hipotecaria núm. 128-2013, que inadmitió a trámite la solicitud de revisión de un decreto de la Letrado de la Administración de Justicia, de 30 de octubre de 2017, por no caber recurso contra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recurrente en amparo había interpuesto previamente recurso de reposición contra la diligencia de ordenación de 6 de julio de 2017, que acordaba acceder a la solicitud de subasta interesada por la parte ejecutante sobre una finca de su propiedad (finca destinada a uso industrial) y contra el decreto de subasta, de 10 de julio de 2017, denunciando la infracción del artículo 682.2.1 de la Ley de enjuiciamiento civil (LEC). El decreto de 30 de octubre de 2017 desestimó ese recurso y consideró que debía dispensarse el requisito del artículo 682.2.1 LEC “por no ser un presupuesto exigido por la normativa vigente en el momento de la constitución de dicho derecho real de garantía, puesto que la misma tan solo exigía que en la escritura de constitución de la hipoteca se determinara el precio en que los interesados tasaban la finca o bien hipotecado, para que sirviera de tipo de subasta, y dicho requisito está plenamente cumplido en la misma al haber acordado las partes de común acuerdo el precio de la tasación, no pudiendo pretender ahora ir contra sus propios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sociedad demandante denuncia en su recurso de amparo la vulneración del derecho a la tutela judicial efectiva sin indefensión (art. 24.1 CE), ya que, según afirma, el artículo 454 bis.1 LEC veda al órgano judicial la revisión de cuestiones relevantes del proceso, que vienen a ser decididas por el letrado de la Administración de Justicia y deberían ser en cambio revisadas por jueces y magistrados, a quienes compete dispensar la tutela judicial, creándose por ello una zona de inmunidad al control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 la subasta, ya que, de celebrarse la misma, el amparo perdería su finalidad al culminarse un proceso de ejecución hipotecaría bajo un tipo de subasta cuya legalidad está en tela de juicio, con riesgo de que se dicte un decreto de aprobación del remate en favor del mejor postor, siendo esa resolución irrecurrible y resultando de ella la eventual adjudicación del bien a un tercero de buena fe, lo que la haría irreivindicable y generadora de un perjuicio irreparable para la sociedad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17 de septiembre de 2018, la Sección Cuarta de este Tribunal acordó admitir a trámite el recurso de amparo. Por providencia de la misma fecha, la Sección formó la oportuna pieza para la tramitación del incidente de suspensión y, conforme a lo dispuesto en el artículo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24 de septiembre de 2018, el Procurador don Manuel Ortiz de Urbina Ruiz, en nombre y representación de Maricris de Chipi, S.L., formuló sus alegaciones, afirmando que la subasta se celebró, siendo la mejor postura ofrecida la de la entidad ejecutante, Caja Rural de Albacete, Ciudad Real y Cuenca, pero encontrándose pendiente el dictado del decreto de adjudicación y la toma de posesión del bien.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la suspensión de las actuaciones judiciales de ejecución ya que, si se dictase el decreto de adjudicación y se diera la toma de posesión del bien, culminará el proceso de ejecución hipotecaria con un perjuicio irreparable para la ahora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28 de septiembre de 2018, interesa la suspensión solicitada, toda vez que, pese a tratarse de una resolución de carácter patrimonial, puede acabar afectando a derechos de terceros de buena fe que decidirán participar en la subasta y luego vieran su derecho cuestionado, o que convirtieran el bien adquirido de buena fe en inatacable e irrecuperable en el caso de que se otorgara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3 de octubre de 2018, la Secretaria de Justicia de la Sala Segunda del Tribunal Constitucional mantuvo una comunicación verbal con el Juzgado de Primera Instancia e Instrucción núm. 1 de Cieza, que informó que, en dicha fecha, no se había dictado Auto de adjudicación de la finca subastada en la ejecución hipotecaria núm. 128-2013.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128-2013 seguido en el Juzgado de Primera Instancia núm. 1 de Cieza.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artículo 117.3 CE (por todos, ATC 133/2016, de 22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regla general es la improcedencia de la suspensión de las resoluciones judiciales, por la perturbación de la función jurisdiccional que la misma supone, salvo en los casos en los que se acredite tanto el carácter irreparable del perjuicio para los derechos fundamentales, como la pérdida de la finalidad del amparo en caso de mantenerse la ejecución de la resolución (entre otros, ATC 178/2015, de 2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como recordáramos en el ATC 290/2014, de 1 de diciembre, FJ 1, por perjuicio irreparable se ha de entender aquel que provoque que el restablecimiento del recurrente en el derecho constitucional vulnerado sea tardío y convierta el amparo en meramente ilusorio y nominal.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(recoge esa doctrina y las correspondiente referencias jurisprudenciales el reciente ATC 21/2018, de 5 de marzo, FJ 2). En el ámbito patrimonial, en suma, sólo hemos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Interesa subrayar que una consolidada doctrina constitucional, de la que es buena muestra el reciente ATC 58/2018, de 4 de junio, FJ 2, y los que en él se citan,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 la doctrina antes recogida y la circunstancia que viene de subrayarse permiten considerar la procedencia de adoptar la medida cautelar de suspensión ya que, en otro caso, se podría materializar la adjudicación y entrega de la posesión del bien en perjuicio de la entidad aquí recurrente,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no se percibe en este momento procesal que la suspensión de la ejecución pueda entrañar una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recurrida y de toda actuación judicial sucesiva que pudiera tener como efecto directo o derivado la adjudicación a terceros de la finca controvertida.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