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20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magistrados don Juan José González Rivas, presidente,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1543-2018, interpuesto por la Administración General del Estado contra la sentencia dictada por la Sección Tercera de la Sala de lo Contencioso-Administrativo del Tribunal Supremo el 30 de noviembre de 2017 en el recurso de casación núm. 3127-2015 y contra el auto de 1 de febrero de 2018, de la misma sala y sección, que desestimó el incidente de nulidad de actuaciones promovido por la recurrente frente a dicha sentencia. Ha intervenido el ministerio fiscal. Ha comparecido la entidad mercantil Estabanell y Pahisa, S.A., representada por la procuradora de los tribunales doña Cecilia Díaz-Caneja Rodríguez y asistida por la letrada doña Irene Bartol Mir.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marzo de 2018, la Administración General del Estado,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mercantil Estabanell y Pahisa, S.A., interpuso recurso contencioso-administrativo contra la Orden IET/350/2014, de 7 de marzo, por la que se fijan los porcentajes de reparto de las cantidades a financiar relativas al bono social correspondientes a 2014. En su demanda, la sociedad mercantil argumentó que esta orden ministerial era contraria a Derecho, pues entendía que el precepto legal del que trae causa, el art. 45.4 de la Ley 24/2013, de 26 de diciembre, del sector eléctrico (en adelante, LSE), en la redacción entonces vigente, infringía el Derecho de la Unión Europea, en particular lo dispuesto en el art. 3 de la Directiva 2009/72/CE, del Parlamento Europeo y del Consejo, de 13 de julio de 2009, sobre normas para el mercado interior de la electricidad (en adelante, Directiva 2009/72/CE). También alegaba que el art. 45.4 LSE y la Orden IET/350/2014 vulneran los arts. 9.3, 14, 39 y 41 CE. Por todo ello interesaba que se declarase la inaplicabilidad del art. 45.4 LSE y de la Orden IET/350/2014, así como la nulidad de esta y le fueran reintegradas las cantidades abonadas en concepto de bono social, con los intereses legales correspondientes. Mediante otrosí solicitó que, si lo estimaba necesario el órgano judicial, plantease cuestión prejudicial ante el Tribunal de Justicia de la Unión Europea y, en su caso,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contencioso-administrativo fue desestimado por sentencia de la Sección Cuarta de la Sala de lo Contencioso-Administrativo de la Audiencia Nacional de 8 de julio de 2015 (procedimiento ordinario núm. 187-2014).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sentencia la entidad Estabanell y Pahisa, S.A., interpuso recurso de casación (núm. 3127-2015), que fue estimado por sentencia de la Sección Tercera de la Sala de lo Contencioso-Administrativo del Tribunal Supremo de 30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casa y anula la sentencia de instancia y estima el recurso contencioso-administrativo, en aplicación de los pronunciamientos contenidos en sus sentencias de 24 de octubre de 2016 (dos, recaídas en los recursos contencioso-administrativos núms. 960-2014 y 961-2014), 25 de octubre de 2016 (recurso núm. 16-2015) y 2 de noviembre de 2016 (recurso núm. 11-2015), a las que se remite, que declaran inaplicable el art. 45.4 LSE, del que trae causa la orden impugnada, por resultar incompatible con la Directiva 2009/72/CE, y declaran también inaplicables y nulos los arts. 2 y 3 del Real Decreto 968/2014, de 21 de noviembre, que desarrollan lo dispuesto en el citado art. 45.4 LSE. En consecuencia, la sentencia del Tribunal Supremo declara nula la Orden IET/350/2014 y reconoce el derecho de Estabanell y Pahisa, S.A., a ser indemnizada por las cantidades abonadas en concepto de bono social en aplicación de la orden anulada, de manera que se reintegren a la demandante todas las cantidades que haya abonado por ese concepto correspondientes a 2014, más los intereses legales correspondientes computados desde fecha en que se hizo el pago hasta la fecha de su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presentado el 4 de enero de 2018, la administración promovió incidente de nulidad de actuaciones contra la sentencia, en el cual denunció las siguientes vulneraciones: i) de los derechos a la tutela judicial efectiva (art. 24.1 CE) y a un proceso con todas las garantías (art. 24.2 CE), por haber sido inaplicada una norma con rango de ley sin promover cuestión de inconstitucionalidad; ii) de los mismos derechos fundamentales por no haber planteado cuestión prejudicial ante el Tribunal de Justicia de la Unión Europea y iii) del derecho a la tutela judicial efectiva por incongruencia omisiva, ya que, al entender de la administración, la sala no se pronunció sobre algunas cuestiones esenciales para enjuiciar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planteamiento de la cuestión prejudicial, la administración desarrolla una extensa argumentación a fin de explicar cuáles son los requisitos del “acto aclarado” según doctrina del Tribunal de Justicia de la Unión Europea, y de exponer las razones por las que, de acuerdo a esa doctrina, considera que los supuestos que el Tribunal Supremo (por remisión a sus sentencias de 24 y 25 de octubre de 2016 y de 2 de noviembre de 2016) toma como referentes como “acto aclarado”, que le dispensa de plantear la referida cuestión prejudicial, no pueden ser tenidos en cuenta a estos efectos, dadas las disimilitudes entre dichos supuestos y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fue desestimado por auto de 1 de febrero de 2018. La sala argumenta que los motivos de nulidad que se aducen en este caso coinciden con los esgrimidos por la abogacía del Estado en el incidente de nulidad que promovió en su día contra la sentencia de la misma sala de 4 de diciembre de 2017 (recurso de casación núm. 3875-2015), sobre el mismo objeto, y que fue desestimado por auto de 24 de enero de 2018, a cuyas consideraciones se remite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LSE, del que trae causa la Orden IET/350/2014, por considerarlo incompatible con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los aspectos más relevantes del procedimiento judicial y señalar que el presente recurso de amparo mantiene su objeto pese a la derogación expresa del precepto legal en el que fundaba su posición la administración, esta justifica la especial trascendencia constitucional del recurso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con base en la existencia del “acto claro” o “acto aclarado”, por la similitud que el supuesto presenta con un caso ya resuelto por el Tribunal de Justicia de la Unión Europea, y poder apreciar directamente que una disposición interna con rango de ley es contraria al Derecho europeo. Esa temática ostenta una clara relevancia pues, conforme se afirma en la STC 232/2015, dejar de aplicar una ley interna sin previamente plantear cuestión prejudicial, por entender que dicha ley es contraria al Derecho de la Unión Europea, vulnera el derecho a un proceso con todas las garantías, si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esa perspectiva, considera el abogado del Estado que lo que debe resolverse en este proceso constitucional no atañe al eventual acierto del Tribunal Supremo al resolver el litigio, sino a delimitar el margen de interpretación del que disponen los órganos judiciales para inaplicar una norma interna con rango de ley, por considerarla contraria al Derecho europeo, sin plantear previamente cuestión prejudicial ante el Tribunal de Justicia de la Unión Europea. Lo novedoso del caso reside en que, por considerar aplicable al presente supuesto la doctrina del “acto aclarado”, la sentencia impugnada ha inaplicado una norma con rango de ley, de manera que el Tribunal Supremo se ha convertido en “legislador negativo”, de modo que sus facultades de valoración resultan sumamente trascendentes desde la perspectiva del derecho garantizado por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vulneraciones constitucionales alegadas, en primer lugar sintetiza las razones dadas por el Tribunal Supremo (en las sentencias de 24 y 25 de octubre de 2016 y de 2 de noviembre de 2016, a las que se remite la sentencia impugnada en amparo) para considerar inaplicable el modelo de financiación del bono social que prevé el art. 45.4 LSE; a saber, que es incompatible con el régimen jurídico establecido en el art. 3.2 de la Directiva 2009/72/CE, porque este precepto exige que las obligaciones de servicio público se definan claramente, sean transparentes, no discriminatorias y controlables y garanticen el acceso en igualdad de condiciones a los consumidores nacionales y, a su vez, porque el precepto inaplicado vulnera el principio de proporcionalidad, toda vez que la carga de la financiación se impone solamente a determinados agentes del sector eléctrico, de manera indefinida y sin ninguna compensación. Afirma que la argumentación que ofrece la sentencia impugnada para considerar innecesario el planteamiento de la cuestión prejudicial es apodíctica y, por tanto, incurre en manifiesta falta de motivación, lesiva del derecho a la tutela judicial efectiva y ello porque el Tribunal Supremo considera que los criterios de la sentencia del Tribunal de Justicia de la Unión Europea de 7 de septiembre de 2016 (asunto Anode) son trasladables al caso ahora examinado, pero no dice por qué razón ni cuáles son esos criterios que resultan aplicables al presente caso, por lo que no se acierta a ver cuál es la semejanza con los considerandos de la sentencia del Tribunal de Justicia de la Unión Europea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impugnada (por remisión a las sentencias de 24 y 25 de octubre de 2016 y de 2 de noviembre de 2016) aplica la doctrina del “acto aclarado” para justificar la falta de planteamiento de la cuestión prejudicial, pero lo hace siguiendo un criterio erróneo, pues no concurren las circunstancias que, conforme a la jurisprudencia consolidada del Tribunal de Justicia de la Unión Europea, determinan que resulte innecesaria la formulación de la cuestión prejudicial. Afirma que ni puede imponerse con tal evidencia la similitud entre asuntos, de manera que no quepa albergar duda razonable sobre la solución de la cuestión, ni tampoco la cuestión suscitada es materialmente idéntica a otra anterior que hubiera sido objeto de una decisión prejudicial. El Tribunal Supremo sustenta la aplicación al caso de la doctrina del “acto aclarado” en las sentencias del Tribunal de Justicia de la Unión Europea recaídas en los asuntos Federutility y Anode, que, según su criterio, constituyen supuestos análogos que, conforme a la “doctrina Cilfit”, justifican la inaplicación del art. 45.4 LSE. Sin embargo, respecto de la sentencia de 20 de abril de 2010, asunto Federutility, estima el abogado del Estado que la discriminación a la que se refieren sus §§ 45 y 46 nada tiene que ver con el trato peyorativo apuntado por la empresa demandante en el proceso a quo, pues la supuesta discriminación que aprecia el Tribunal Supremo no trae causa de la indiferenciación (como en la sentencia del Tribunal de Justicia de la Unión Europea en el asunto Federutility),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en la demanda la segunda de las sentencias traídas a colación por el Tribunal Supremo, esto es, la sentencia del Tribunal de Justicia de la Unión Europea de 7 de septiembre de 2016 (asunto Anode) cuya doctrina tampoco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estos se refieren a la protección de los consumidores vulnerables, aspecto este que es completamente ajeno a la determinación de los componentes del precio del gas en aquel caso. Al margen de lo expuesto, tampoco cabe entender que las consideraciones que se formulan en el §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eléctrico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la sentencia impugnada en amparo ha vulnerado los derechos garantizados por el art. 24 CE porque: i) el Tribunal Supremo ha desconocido el sistema de fuentes, al inaplicar una norma con rango de ley sin plantear previamente cuestión prejudicial ante el Tribunal de Justicia de la Unión Europea; ii) incurre en un déficit de motivación, ya que no explica suficientemente las razones por las que considera que concurre la circunstancia del “acto aclarado”, como razón que le excusa de aplicar la ley española sin plantear la cuestión prejudicial y iii) ha resuelto el proceso inmiscuyéndose en un ámbito o competencia jurisdiccional ajeno, dando lugar a que la controversia sea decidida por un juez o tribunal distinto del querido por el legislador. En consecuencia solicita que se declare nula la sentencia, así como el auto que desestima el incidente de nulidad de actuaciones y que se ordene retrotraer las actuaciones al momento inmediato anterior al pronunciamiento de la sentencia, para que el Tribunal Supremo plantee la cuestión prejudicial de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2018, la Sección Segunda de este Tribunal acordó admitir el presente recurso a trámite apreciando que concurre especial transcendencia constitucional (art. 50.1 de la Ley Orgánica del Tribunal Constitucional: LOTC), porque plantea un problema o una faceta de un derecho fundamental sobre el que no hay doctrina de este Tribunal [STC 155/2009, FJ 2 a)]. Acordó también, en aplicación de lo dispuesto en el art. 51 LOTC, dirigir atenta comunicación a la Sección Tercera de la Sala de lo Contencioso-Administrativo del Tribunal Supremo, a fin de que, en plazo que no excediera de diez días, remitiera certificación o fotocopia adverada de las actuaciones correspondientes al recurso de casación núm. 3127-2015; así como a la Sección Cuarta de la Sala de lo Contencioso-Administrativo de la Audiencia Nacional, para que en el mismo plazo, remitiese certificación o fotocopia adverada de las actuaciones correspondientes al procedimiento ordinario núm. 187-2014, y emplazase a quienes hubieran sido parte en el mismo, para que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14 de septiembre de 2018, la procuradora de los tribunales doña Cecilia Díaz-Caneja Rodríguez, en representación de Estabanell y Pahisa, S.A., interesó que se la tuviera por personada y parte en el presente recurso de amparo. Con fecha 19 de septiembre de 2018 presentó nuevo escrito en el que manifiesta que la asistencia letrada corresponde a la abogada doña Irene Bartol 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27 de septiembre de 2018, la secretaría de justicia de la Sala Primera tuvo por personadas y partes en el presente recurso de amparo a la referida sociedad mercantil, representada y asistida por los profesionales indicados. Asimismo, de conformidad con lo dispuesto en el art. 52.1 LOTC,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Estabanell y Pahisa, S.A., presentó su escrito de alegaciones el 31 de octubre de 2018, en el que interesa la inadmisión del recurso de amparo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 en primer lugar, como óbice a la admisibilidad del recurso, la insuficiente justificación de la especial trascendencia constitucional del mismo, pues la administración se limita a reiterar los argumentos sobre la pretendida lesión de derechos garantizados por el art. 24 CE. Además, no es cierto que no exista doctrina constitucional acerca de los supuestos de exoneración del planteamiento de la cuestión prejudicial ante el Tribunal de Justicia de la Unión Europea, pues el Tribunal Constitucional ya ha tenido ocasión de pronunciarse al respecto (en SSTC 78/2010, de 20 de octubre, 145/2012, de 2 de julio, y 232/2015, de 5 de noviembre, entre otras). Conforme a esa doctrina, a la que se acoge el Tribunal Supremo, los jueces nacionales, al enfrentarse con una norma interna incompatible con el Derecho de la Unión Europea, tienen la obligación de inaplicar la disposición nacional, con independencia del rango de esta, en virtud del principio de primacía del Derecho europeo. Esa inaplicación de la norma nacional se producirá sin necesidad de plantear cuestión prejudicial, conforme a la doctrina del Tribunal de Justicia de la Unión Europea cuando la correcta aplicación de la norma europea pueda imponerse con tal evidencia que no deje lugar a ninguna duda razonable sobre la solución de la cuestión, o cuando la cuestión suscitada fuese materialmente idéntica a otra que haya sido objeto de una decisión prejudicial en un caso análogo (doctrina del “acto claro” y del “acto aclarado”).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alega que la sentencia impugnada no ha vulnerado ningún derecho reconocido en el art. 24 CE. A este respecto, sostiene que el Tribunal Supremo resolvió el litigio de manera suficientemente motivada y razonable, sustentando su decisión de inaplicar directamente el art. 45.4 LSE (del que es desarrollo la Orden IET/350/2014), por resultar incompatible con el art. 3.2 de la Directiva 2009/72/CE, sin plantear la cuestión prejudicial, en la doctrina del “acto aclarado”, a la vista de la jurisprudencia sentada por el Tribunal de Justicia de la Unión Europea en los asuntos Federutility y Anode (sentencias de 20 de abril de 2010 y de 7 de septiembre de 2016), y con estricto acatamiento de la doctrina constitucional. Todo ello permite concluir que la decisión adoptada por el Tribunal Supremo de inaplicar la norma interna sin plantear cuestión prejudicial es fruto de una exégesis racional de la legalidad ordinaria, que excluye, por tanto, la pretendida vulneración de los derechos que alega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mediante escrito registrado en este Tribunal el 7 de noviembre de 2018. Tras referirse a los antecedentes del caso, señala que el presente recurso de amparo es similar a otros sobre el mismo asunto interpuestos por la Administración General del Estado, en relación con el régimen de financiación del bono social eléctrico, contra sentencias de la Sala de lo Contencioso-Administrativo del Tribunal Supremo que declaran inaplicable el art. 45.4 LSE (así como la normativa reglamentaria que lo desarrolla), por considerarlo incompatible con el art. 3.2 de la Directiva 2009/72/CE, sin plantear cuestión prejudicial ante el Tribunal de Justicia de la Unión Europea. La administración aduce en todos los casos la vulneración de los derechos a la tutela judicial efectiva sin indefensión (art. 24.1 CE) y a un proceso con todas las garantías (art. 24.2 CE). Reproduce por ello el ministerio fiscal las alegaciones formulados en esos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señala que no puede negársele a la administración legitimación para recurrir en amparo, desde la perspectiva de las garantías procesales inherentes a los derechos del art. 24 CE, que le son reconocidas a la administración como parte en los procesos judiciales (STC 58/2004, de 19 de abril, FJ 5). Descarta asimismo que la derogación expresa del precepto legal en el que fundaba su posición la administración haga perder su objeto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también los antecedentes legislativos y la finalidad del bono social, que opera como una medida de protección de los consumidores de energía vulnerables y responde a las previsiones del art. 3.7 de la Directiva 2009/72/CE. El régimen de financiación del bono social en la legislación precedente (Real Decreto-ley 6/2009) fue enjuiciado en la sentencia de la Sala de lo Contencioso-Administrativo del Tribunal Supremo de 7 de febrero de 2012, que consideró que ese régimen de financiación no cumplía las exigencias de transparencia, no discriminación, control y proporcionalidad exigidas por la Directiva 2003/54/CE (luego reemplazada por la citada directiva 2009/72/CE). Por ello, el Tribunal Supremo resolvió la inaplicación de las disposiciones pertinentes de aquella regulación sin plantear cuestión prejudicial ante el Tribunal de Justicia de la Unión Europea, por considerar que el sentido de la directiva ya había sido aclarado en la sentencia de dicho tribunal de 20 de abril de 2010, dictada en el asunto Federutility.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referida sentencia del Tribunal Supremo de 7 de febrero de 2012 se procedió a regular de nuevo el bono social eléctrico por el art. 8 del Real Decreto-ley 9/2013, precedente inmediato del art. 45.4 LSE (Ley 24/2013), que la sentencia impugnada en el presente recurso de amparo inaplica. Esta disposición (más tarde modificada por el Real Decreto-ley 7/2016) se correspondía con las previsiones del Real Decreto-ley 6/2009, pues establecía que el bono social fuera asumido por las matrices de los grupos de sociedades o, en su caso, por las sociedades que desarrollasen simultáneamente las actividades de producción, distribución y comercialización de energía eléctrica. El régimen de financiación del bono social previsto por el art. 45.4 LSE y desarrollado por el Real Decreto 968/2014, así como por la Orden IET/350/2014, que fija los porcentajes de reparto de las cantidades a financiar correspondientes a 2014, es declarado inaplicable por la sentencia impugnada en amparo, al estimar el Tribunal Supremo que se opone a lo establecido en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la sentencia impugnada vulnera los derechos de la administración a la tutela judicial efectiva sin indefensión y a un proceso con todas las garantías, por inaplicar el art. 45.4 LSE (que la Orden IET/350/2014 desarrolla) sin plantear previamente la cuestión prejudicial ante el Tribunal de Justicia de la Unión Europea, es necesario examinar las razones en las que el Tribunal Supremo fundamenta esa decisión, por remisión a sus anteriores pronunciamientos, contenidos en sus sentencias de 24 de octubre de 2016 (dos), 25 de octubre de 2016 y 2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con lo preceptuado en el art. 267 Tratado de funcionamiento de la Unión Europea. Ahora bien, esto no significa que las decisiones judiciales sobre ese particular estén exentas de cualquier control de constitucionalidad, sino que, por el contrario, están sujetas al canon de control propio de cualquier resolución judicial. Además, debe tenerse en cuenta el especial control de constitucionalidad que procede efectuar respecto de aquellas resoluciones judiciales que no aplican una norma legal interna, por su apreciada contradicción con el Derecho de la Unión Europea. Afirma que en estos casos —y no en los que el órgano judicial aplica la norma interna sin plantear cuestión prejudicial ante el Tribunal de Justicia de la Unión Europea, por estimarla conforme con el Derecho de la Unión Europea (STC 27/2013)— se pueden lesionar los derechos a la tutela judicial efectiva y a un proceso con todas las garantías, siempre que exista una duda objetiva, clara y terminante sobre esa supuesta contradicción (SSTC 58/2004, FFJJ 9 a 14, y 232/2015, FJ 5). Para enjuiciar el carácter fundado de una resolución judicial que inaplica una norma legal vigente por su oposición al Derecho europeo, sin suscitar cuestión prejudicial, habrá que estar a lo establecido por la propia doctrina del Tribunal de Justicia de la Unión Europea acerca de los presupuestos para la formulación de la cuestión prejudicial, correspondiendo a los órganos judiciales apreciar la concurrencia de tales presupuestos (STC 78/2010, FJ 2). En la misma línea el Tribunal Europeo de Derechos Humanos, en su sentencia de 8 de abril de 2014, caso Dhabi contra Italia, también pone de manifiesto, en relación con el derecho al proceso debido (art 6.1 del Convenio Europeo de Derechos Humanos), que los órganos judiciales nacionales deben justificar, de acuerdo con la doctrina del Tribunal de Justicia de la Unión Europea, las razones por las que deciden no plantear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sentada por el Tribunal de Justicia de la Unión Europea en la sentencia del asunto Cilfit sobre los supuestos de dispensa del planteamiento de la cuestión prejudicial, el fiscal examina los razonamientos de la sentencia impugnada (por remisión a las precedentes citadas) para no plantear la cuestión prejudicial. Sobre este particular pone de relieve que, en el fundamento jurídico 8 de las sentencias a las que se remite la impugnada, se afirma que en la de 7 de febrero de 2012 el Tribunal Supremo resolvió que no era necesario plantear la cuestión respecto de la correcta aplicación del art. 3.2 de la Directiva 2003/54/CE porque ya existía una decisión prejudicial al respecto, concretamente la sentencia de 20 de abril 2010, recaída en el asunto Federutility, que aquella resolución consideró como “acto aclarado”. En relación con el presente supuesto, el Tribunal Supremo también considera que existen decisiones prejudiciales del Tribunal de Justicia de la Unión Europea en casos análogos; en concreto, la ya citada sentencia de 20 de abril de 2010 (asunto Federutility) y la de 7 de septiembre de 2016, recaída en el asunto Anode. En relación con esta última, el Tribunal Supremo aprecia que las consideraciones que en ella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eléctrico que establece el art. 45.4 LSE; con fundamento en ello entiende que este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como la administración recurrente, que el Tribunal Supremo no ha justificado realmente que concurra un supuesto de “acto aclarado”. Se ha limitado a expresar una declaración de voluntad, que es la de estimar que la decisiones del Tribunal de Justicia de la Unión Europea en esas sentencias son plenamente trasladables a la controversia suscitada sobre la nueva regulación del régimen de financiación del bono social, pero no ofrece ninguna explicación sobre cuáles son los criterios que le permiten considerar que pueden ser aplicables, para resolver esa controversia, unas decisiones prejudiciales del Tribunal de Justicia de la Unión Europea que se pronuncian sobre la interpretación de las directivas relativas al mercado del gas —y no sobre las del mercado de la electricidad— y además se refieren a otro tipo de obligaciones de servicio público distintas del bono social. Añade que la sentencia del caso Anode versa sobre un supuesto en el que la norma legal controvertida impone a determinadas empresas suministradoras de gas un precio regulado a clientes finales, a fin de garantizar el suministro y la cohesión territorial;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fiscal entiende que el Tribunal Supremo no ha apreciado correctamente la doctrina del “acto aclarado”, pues el objeto de la decisión prejudicial que fue resuelta por el Tribunal de Justicia de la Unión Europea (caso Anode) no puede ser considerado idéntico o análogo al actual. Se trata de directivas distintas, cuya aplicación se proyecta sobre los mercados interiores de dos productos energéticos diferentes (gas y electricidad). Además, la norma allí considerada por el Tribunal de Justicia de la Unión Europea imponía un precio regulado a determinadas suministradoras de gas, a fin de garantizar el suministro y la cohesión social, mientras que en el proceso del que trae causa el presente recurso de amparo la norma controvertida se refiere al régimen de financiación del bono social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sentencia del Tribunal de Justicia de la Unión Europea en que se basa el Tribunal Supremo para entender que puede inaplicar la ley interna sin plantear cuestión prejudicial, no puede considerarse como una decisión prejudicial materialmente idéntica en un asunto análogo, que permita conocer de manera evidente y sin ninguna duda objetiva razonable cuál es la correcta aplicación de la norma europea en el caso controvertido. Por el contrario, que existen esas dudas lo corroboran el voto particular a la sentencias a las que se remite la impugnada y el dictamen del Consejo de Estado relativo al proyecto de orden por el que se desarrolla la metodología para la fijación de los porcentajes de reparto de las cantidades a financiar respecto del bono social, en el que se sostiene que ese régimen de financiación satisface los requisitos impuestos por la normativa europea. No procede pues apreciar que concurre un supuesto de “acto aclarado”. Además, los supuestos de dispensa del planteamiento de la cuestión prejudicial deben ser objeto de interpretación estricta, tal y como pone de relieve la sentencia del caso Cilfit.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ministerio fiscal estima vulnerados los derechos de la Administración a la tutela judicial efectiva sin indefensión y a un proceso con todas las garantías (art. 24.1 y 2 CE), pues la Sala de lo Contencioso-Administrativo del Tribunal Supremo ha incurrido en un exceso de jurisdicción, al pronunciarse sobre la incompatibilidad de la norma legal con el Derecho europeo al margen del proceso debido, vulnerando el sistema de fuentes, al inaplicar directamente la norma legal vigente y eludir el mecanismo de control correspondiente. Por ello interesa que se estime el recurso de amparo, declarando la nulidad de las resoluciones judiciales impugnadas y ordenando la retroacción de actuaciones, al objeto de que la Sala de lo Contencioso-Administrativo del Tribunal Supremo dicte nueva sentencia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16 de mayo de 2019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planteamientos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sentencia dictada el 30 de noviembre de 2017 por la Sección Tercera de la Sala de lo Contencioso-Administrativo del Tribunal Supremo en el recurso de casación núm. 3127-2015, así como el auto de 1 de febrero de 2018, por el que se desestima el incidente de nulidad de actuaciones. Para la administración demandante, que actúa representada por el abogado del Estado, se han vulnerado los derechos a la tutela judicial efectiva sin indefensión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Tribunal Supremo ha inaplicado el art. 45.4 de la Ley del sector eléctrico (LSE) entonces en vigor, que establecería el régimen de financiación del bono social eléctrico, desarrollado por la Orden IET/350/2014, de 7 de marzo, por la que se fijan los porcentajes de reparto de las cantidades a financiar relativas al bono social correspondientes a 2014, al considerar que es incompatible con el art. 3.2 de la Directiva 2009/72/CE. Ha adoptado esa decisión sin plantear previamente cuestión prejudicial ante el Tribunal de Justicia de la Unión Europea, ofreciendo una motivación (por remisión a anteriores sentencias de la propia sala) manifiestamente insuficiente para justificar ese proceder, pues entiende que resulta aplicable la doctrina sobre el “acto aclarado”, con fundamento en las sentencias recaídas en los asuntos Federutility y Anode, pero no dice cuáles son las razones por los que cabe apreciarla. Además, ha aplicado inadecuadamente la doctrina del Tribunal de Justicia de la Unión Europea sobre el “acto aclarado”, que permite preterir una norma estatal por incompatibilidad con el Derecho de la Unión Europea sin plantear cuestión prejudicial. Esa errónea apreciación se produce porque no hay identidad material, ni tampoco analogía, entre los casos resueltos por el Tribunal de Justicia de la Unión Europea y el que se enjuicia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Estabanell y Pahisa, S.A., ha solicitado la inadmisión del recurso de amparo por entender que la administración no ha justificado suficientemente la especial transcendencia constitucional. De modo subsidiario, solicita la desestimación del recurso por considerar que la sentencia del Tribunal Supremo no ha vulnerado los derechos de la administración a la tutela judicial efectiva y al proceso con todas las garantías. Todo ello de conformidad con los argumentos que se exponen de modo detallado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razonamientos que asimismo han quedado relatados en los antecedentes, interesa la estimación del recurso de amparo, al considerar que se han vulnerado los derechos fundamentales de la Administración demandante a la tutela judicial efectiva sin indefensión y al proceso debido (art. 24.1 y 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Coincidencia del objeto del presente recurso con el resuelto en la STC 37/2019,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de las partes son coincidentes con los que ya han sido abordados en nuestra reciente STC 37/2019, de 26 de marzo (publicada en el “Boletín Oficial del Estado” núm. 99, de 25 de abril).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ahora impugnada ha sido dictada por el mismo órgano judicial (Sección Tercera de la Sala de lo Contencioso-Administrativo del Tribunal Supremo) y también declara (a instancia de una compañía eléctrica distinta) la inaplicación, por contradicción con lo dispuesto en el art. 3.2 de la Directiva 2009/72/CE, del Parlamento europeo y del Consejo de Europa, del art. 45.4 LSE, utilizando, para llegar a esa conclusión, la doctrina del “acto aclarado”, en relación con las sentencias del Tribunal de Justicia de la Unión Europea de 20 de abril de 2010 (asunto C-265/208, Federutility) y de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argumentación de la sentencia ahora impugnada reproduce, además, la contenida en la sentencia de 24 de octubre de 2016, del mismo órgano judicial, a la que se remite, que fue objeto de análisis en la citada STC 37/2019.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pues ante la misma argumentación que ya examinamos en la STC 37/2019 sobre la incompatibilidad del régimen jurídico de financiación del bono social con lo dispuesto en el art. 3.2 de la Directiva 2009/72/CE, en relación con las obligaciones de servicio público, y sobre la improcedencia del planteamiento de la cuestión prejudicial ante el Tribunal de Justicia de la Unión Europea, con fundamento en la doctrina del “acto aclarado”.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 amparo presentada por la Administración General del Estado en el presente recurso se corresponde íntegramente con la que formuló en el recurso de amparo estimado por la citada STC 37/2019. No se hace ninguna alegación distinta a las planteadas en aquel recurso, que fueron examinadas por este Tribunal en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las alegaciones formuladas por la entidad mercantil personada en el presente recurso de amparo también reproduce sustancialmente las que fueron realizadas en el recurso resuelto por la STC 37/2019.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abordar las diversas cuestiones procesales y sustantivas suscitadas en el presente recurso de amparo con remisión expresa a lo razonado en la STC 37/2019.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 índole procesal realizadas por la entidad Estabanell y Pahisa, S.A., que podrían impedir la adopción de un pronunciamiento de fondo, hemos de señalar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explicamos en la STC 37/2019, FJ 3.b), “para la administración demandante la especial trascendencia constitucional del presente recurso reside en la oportunidad que brinda a este Tribunal de fijar el canon de control respecto del ejercicio, por parte de los órganos judiciales, de la facultad de inaplicar una ley interna por su eventual contradicción con la normativa de la Unión Europea, sin plantear previamente cuestión prejudicial. […] Lo que en esencia pone de relieve la administración es la novedad del supuesto, ya que este Tribunal no ha tenido ocasión de pronunciarse específicamente sobre el control que le corresponde ejercer, desde la perspectiva del art. 24 CE, en un caso en que la inaplicación de una norma interna con rango de ley, por su contrariedad al Derecho de la Unión Europea, deriva de la aplicación de la doctrina sobre el ‘acto aclarado’. A la vista de lo expuesto, no cabe apreciar la objeción que plantean las codemandadas. La administración ha cumplimentado adecuadamente el gravamen de justificar la especial transcendencia constitucional, ofreciendo al respecto una argumentación disociada de aquella que ofrece para explicar las lesiones que denuncia. Además, esa justificación se anuda a una temática que no es ajena al cometido de este Tribunal […]. Por otro lado, tal y como figura en el tenor de la providencia en cuya virtud acordamos su admisión a trámite, este recurso plantea un problema o faceta de un derecho fundamental sobre el que no hay doctrina de este Tribunal [STC 155/2009, FJ 2 a)], en la medida, añadimos ahora, en que permite que este Tribunal pueda perfilar el canon constitucional del control de las decisiones judiciales que, no siendo susceptibles de ulterior recurso ordinario según el Derecho interno, dejan de aplicar una ley nacional por entender que es incompatible con el Derecho de la Unión Europea, sin plantear previamente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descartarse el óbice de insuficiente justificación de la especial transcendencia constitucional del recurso que esgrime la entidad Estabanell y Pahisa,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dar por reproducidos los razonamientos contenidos en nuestra STC 37/2019, FJ 4, en relación con el planteamiento de la cuestión prejudicial, concluyendo, como entonces, que nuestra doctrina puede expresarse, de manera resumida,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contrario al derecho a un proceso con todas las garantías (art. 24.2 CE) dejar de aplicar una norma interna (tenga esta o no rango de ley) sin plantear cuestión prejudicial ante el Tribunal de Justicia de la Unión Europea, cuando exista una “duda objetiva, clara y terminante” sobre esa supuesta contradicción [SSTC 58/2004, FFJJ 9 a 14; 232/2015, FJ 5.a)]. Tal duda objetiva puede derivar: (i) del hecho de existir un criterio generalizado de los tribunales españoles acerca de la compatibilidad entre ambas normas, que el órgano judicial no desvirtúa mediante una motivación específica en la resolución impugnada en amparo; (ii) o de que, pese a haberse dictado una o más resoluciones por el Tribunal de Justicia de la Unión Europea referentes a dicha norma nacional, ninguna se ha pronunciado directamente sobre las cuestiones que ahora se suscitan; (iii) o bien de la conjunción de ambas circunstancias (STC 58/2004, FFJJ 13 y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igualmente contrario al derecho a un proceso con todas las garantías (art. 24.2 CE), por alteración del sistema de fuentes, la inaplicación de una norma interna sin plantear cuestión prejudicial cuando se fundamente esa decisión en la doctrina del “acto aclarado”, en los casos en que tal doctrina no pueda ser invocada. Es decir, cuando no sea posible afirmar que “la cuestión planteada es materialmente idéntica a una que ya fue objeto anteriormente de una decisión con carácter prejudicial en un asunto análogo” (sentencia del Tribunal de Justicia de la Unión Europea de 6 de octubre de 1982, asunto 283/81, Cilfit, apartado 13) como, por ejemplo, se examinó en la ya citada STC 194/2006,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contrario, “dejar de plantear la cuestión prejudicial y aplicar una ley nacional supuestamente contraria al Derecho de la Unión no vulnera el derecho a la tutela judicial efectiva si esa decisión es fruto de una exégesis racional de la legalidad ordinaria, pues solo estos parámetros tan elevados forman parte de los derechos consagrados en el art. 24 CE” [STC 232/2015, FJ 5.b), con cita de las anteriores SSTC 27/2013, de 11 de febrero, FJ 7;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cumpliéndose con los requisitos de la doctrina del “acto aclarado”, también hemos dicho que “corresponde a este Tribunal velar por el respeto del principio de primacía del Derecho de la Unión Europea cuando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232/2015, FJ 5 c), con cita de la anterior STC 145/2012, de 2 de julio, FFJJ 5 y 6. En igual sentido, SSTC 148/2016, de 19 de septiembre, FJ 5.b); 162/2016, de 3 de octubre, FJ 2; y 75/2017,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remitirnos in toto al análisis efectuado en el fundamento jurídico 5 de nuestra STC 37/2019, en relación con la normativa interna (art. 45.4 LSE) y de la Unión Europea (art. 3.2 de la Directiva 2009/72/CE) que la Sala Tercera del Tribunal Supremo ha tenido en cuenta para dirimir el litigio, así como acerca de la doctrina sobre “el acto aclarado” elaborada por el Tribunal de Justicia de la Unión Europea (sentencia de 6 de octubre de 1982, asunto 238/1981, Cilfit).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en los fundamentos jurídicos anteriores, debe ser estimada la queja relativa a la alegada vulneración del derecho a un proceso con todas las garantías (art. 24.2 CE), en cuanto a la decisión del Tribunal Supremo de inaplicar la normativa nacional sin necesidad de plantear cuestión prejudicial ante el Tribunal de Justicia de la Unión Europea, en consideración a lo ya apreciado en nuestra STC 37/2019, FJ 6.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fundamentación jurídica de la sentencia impugnada debería haber incluido una explicación sobre los concretos motivos por los que se considera que concurre el referido “acto aclarado”. Al no haberse argumentado en el sentido expuesto, cabe afirmar que el Tribunal Supremo no ha justificado, desde la perspectiva propia del “acto aclarado” que se configura en la sentencia Cilfit, por qué se debe considerar que el presente caso es análogo a los asuntos Federutility y Anode; cuáles son las circunstancias que permiten entender que la cuestión que ahora se suscita es sustancialmente idéntica a la que se planteó en los asuntos antes indicados; o cuál es la concreta doctrina fijada por el Tribunal de Justicia de la Unión Europea que, en relación con la presente controversia, sustenta el “acto aclarado” que el Tribunal Supremo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en el presente caso concurren los presupuestos necesarios para apreciar que la doctrina emanada de las referidas sentencias del Tribunal de Justicia de la Unión Europea constituye un “acto aclarado” respecto del problema interpretativo suscitado y, por tanto, el Tribunal Supremo no estaba dispensado de plantear cuestión prejudicial, pues “aunque el precepto interpretado por el TJUE tuviera el mismo contenido tanto en la directiva del sector eléctrico como en la relativa al sector del gas, no se trataba de las mismas directivas, ni del mismo sector ni los problemas abordados, respectivamente, por las sentencias Federutility y Anode y por la sentencia impugnada son exactamente iguales. Por ello, no puede concluirse que, mediante las referidas sentencias, el Tribunal de Justicia de la Unión Europea hubiera aclarado una cuestión idéntica y suscitada en un caso análogo al enjuiciado por el Tribunal Supremo, que son los requisitos fijados por el Tribunal de Justicia de la Unión Europea para apreciar la concurrencia del ‘acto aclarado’ y enervar la obligación que tienen los tribunales nacionales de plantear cuestión prejudicial” (STC 37/2019,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reconocer la vulneración del derecho de la administración recurrente a un proceso con todas las garantías (art. 24.2 CE), toda vez que el Tribunal Supremo ha inaplicado la normativa nacional por considerarla incompatible con el art. 3.2 de la Directiva 2009/72/CE, sin haber recabado previamente un pronunciamiento prejudicial del Tribunal de Justicia de la Unión Europea. Ello ha dado lugar a una preterición del sistema de fuentes y a la vulneración del derecho fundamental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vulneración indicada, la lesión del derecho a la tutela judicial sin indefensión, por la insuficiente motivación acerca de las razones por las que se aprecia la concurrencia del “acto aclarado”, carece de virtualidad como queja autónoma, al haberse declarado ya, según lo expuesto, que el Tribunal Supremo no quedaba exonerado de plantear la cuestión prejudicial ante el Tribunal de Justicia de la Unión Europea. Por todo ello, procede estimar el recurso de amparo, por vulneración del derecho de la administración demandante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debe comportar, conforme a lo dispuesto en el art. 55.1 LOTC, el reconocimiento del derecho fundamental vulnerado y la declaración de nulidad de la sentencia y del auto objeto de impugnación, con retroacción de actuaciones al momento anterior a dictarse la primera de las resoluciones,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Administración General del Estado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la sentencia de 30 de noviembre de 2017, de la Sección Tercera de la Sala de lo Contencioso-Administrativo del Tribunal Supremo, en el recurso de casación núm. 3127-2015, y del auto de 1 de febrero de 2018,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sentencia, para que el indicado órgano judicial dicte nueva resolución respetuosa con el derecho fundamental vulnerado, en los términos expresados en el fundamento jurídico quinto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 la Sala Primera de 20 de mayo de 2019 dictada en el recurso de amparo núm. 1543-2018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núm. 1543-2018.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mismas que se contienen en el voto particular que formulé a la STC 37/2019, de 26 de marzo, mostrando mi parecer opuesto a la legitimación de la Administración General del Estado para solicitar en amparo la protección de sus derechos fundamentales. 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mayo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